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E8BC69" w14:textId="6358A75F" w:rsidR="00285732" w:rsidRPr="00CA67BD" w:rsidRDefault="00285732" w:rsidP="00CA67BD">
      <w:pPr>
        <w:spacing w:after="120" w:line="240" w:lineRule="auto"/>
        <w:jc w:val="right"/>
        <w:rPr>
          <w:rFonts w:eastAsia="Arial" w:cstheme="minorHAnsi"/>
          <w:color w:val="000000"/>
          <w:lang w:eastAsia="pl-PL"/>
        </w:rPr>
      </w:pPr>
      <w:bookmarkStart w:id="0" w:name="_GoBack"/>
      <w:bookmarkEnd w:id="0"/>
      <w:r w:rsidRPr="00CA67BD">
        <w:rPr>
          <w:rFonts w:eastAsia="Arial" w:cstheme="minorHAnsi"/>
          <w:color w:val="000000"/>
          <w:lang w:eastAsia="pl-PL"/>
        </w:rPr>
        <w:t xml:space="preserve">Załącznik nr </w:t>
      </w:r>
      <w:r w:rsidR="00D33FF8" w:rsidRPr="00CA67BD">
        <w:rPr>
          <w:rFonts w:eastAsia="Arial" w:cstheme="minorHAnsi"/>
          <w:color w:val="000000"/>
          <w:lang w:eastAsia="pl-PL"/>
        </w:rPr>
        <w:t>19</w:t>
      </w:r>
      <w:r w:rsidR="00CA67BD">
        <w:rPr>
          <w:rFonts w:eastAsia="Arial" w:cstheme="minorHAnsi"/>
          <w:color w:val="000000"/>
          <w:lang w:eastAsia="pl-PL"/>
        </w:rPr>
        <w:t xml:space="preserve"> do Umowy</w:t>
      </w:r>
    </w:p>
    <w:p w14:paraId="0D9B84D9" w14:textId="2E0A1B9B" w:rsidR="00BA0CBB" w:rsidRPr="00E62D76" w:rsidRDefault="00285732" w:rsidP="00E62D76">
      <w:pPr>
        <w:keepNext/>
        <w:keepLines/>
        <w:spacing w:after="231" w:line="240" w:lineRule="auto"/>
        <w:ind w:left="64"/>
        <w:jc w:val="center"/>
        <w:outlineLvl w:val="0"/>
        <w:rPr>
          <w:rFonts w:ascii="Arial" w:eastAsia="Arial" w:hAnsi="Arial" w:cs="Arial"/>
          <w:b/>
          <w:color w:val="000000"/>
          <w:u w:color="000000"/>
          <w:lang w:eastAsia="pl-PL"/>
        </w:rPr>
      </w:pPr>
      <w:r w:rsidRPr="00E62D76">
        <w:rPr>
          <w:rFonts w:ascii="Arial" w:eastAsia="Arial" w:hAnsi="Arial" w:cs="Arial"/>
          <w:b/>
          <w:color w:val="000000"/>
          <w:u w:color="000000"/>
          <w:lang w:eastAsia="pl-PL"/>
        </w:rPr>
        <w:t xml:space="preserve">Szczegółowe zasady finansowania usług świadczonych przez Operatora </w:t>
      </w:r>
    </w:p>
    <w:p w14:paraId="3DDE7C71" w14:textId="28DCBE94" w:rsidR="00285732" w:rsidRPr="00E62D76" w:rsidRDefault="00285732" w:rsidP="00285732">
      <w:pPr>
        <w:numPr>
          <w:ilvl w:val="0"/>
          <w:numId w:val="1"/>
        </w:numPr>
        <w:spacing w:after="124" w:line="240" w:lineRule="auto"/>
        <w:ind w:right="5"/>
        <w:contextualSpacing/>
        <w:jc w:val="both"/>
        <w:rPr>
          <w:rFonts w:ascii="Arial" w:eastAsia="Arial" w:hAnsi="Arial" w:cs="Arial"/>
          <w:b/>
          <w:color w:val="000000"/>
          <w:lang w:eastAsia="pl-PL"/>
        </w:rPr>
      </w:pPr>
      <w:r w:rsidRPr="00E62D76">
        <w:rPr>
          <w:rFonts w:ascii="Arial" w:eastAsia="Arial" w:hAnsi="Arial" w:cs="Arial"/>
          <w:b/>
          <w:color w:val="000000"/>
          <w:lang w:eastAsia="pl-PL"/>
        </w:rPr>
        <w:t>Przychody Taryfowe</w:t>
      </w:r>
      <w:r w:rsidR="001816A0">
        <w:rPr>
          <w:rFonts w:ascii="Arial" w:eastAsia="Arial" w:hAnsi="Arial" w:cs="Arial"/>
          <w:b/>
          <w:color w:val="000000"/>
          <w:lang w:eastAsia="pl-PL"/>
        </w:rPr>
        <w:t>, Przychody Pozataryfowe</w:t>
      </w:r>
      <w:r w:rsidR="00BA0CBB" w:rsidRPr="00E62D76">
        <w:rPr>
          <w:rFonts w:ascii="Arial" w:eastAsia="Arial" w:hAnsi="Arial" w:cs="Arial"/>
          <w:b/>
          <w:color w:val="000000"/>
          <w:lang w:eastAsia="pl-PL"/>
        </w:rPr>
        <w:t xml:space="preserve"> i Przychód Gwarantowany</w:t>
      </w:r>
    </w:p>
    <w:p w14:paraId="224887BD" w14:textId="54D6C541" w:rsidR="00A43497" w:rsidRPr="00E62D76" w:rsidRDefault="00A43497" w:rsidP="008756F5">
      <w:pPr>
        <w:pStyle w:val="Akapitzlist"/>
        <w:numPr>
          <w:ilvl w:val="1"/>
          <w:numId w:val="1"/>
        </w:numPr>
        <w:spacing w:after="0"/>
        <w:ind w:left="568" w:hanging="284"/>
        <w:contextualSpacing w:val="0"/>
        <w:jc w:val="both"/>
        <w:rPr>
          <w:rFonts w:ascii="Arial" w:eastAsia="Arial" w:hAnsi="Arial" w:cs="Arial"/>
          <w:color w:val="000000"/>
          <w:lang w:eastAsia="pl-PL"/>
        </w:rPr>
      </w:pPr>
      <w:r w:rsidRPr="00E62D76">
        <w:rPr>
          <w:rFonts w:ascii="Arial" w:eastAsia="Arial" w:hAnsi="Arial" w:cs="Arial"/>
          <w:color w:val="000000"/>
          <w:lang w:eastAsia="pl-PL"/>
        </w:rPr>
        <w:t>O</w:t>
      </w:r>
      <w:r w:rsidR="005B3CE9" w:rsidRPr="00E62D76">
        <w:rPr>
          <w:rFonts w:ascii="Arial" w:eastAsia="Arial" w:hAnsi="Arial" w:cs="Arial"/>
          <w:color w:val="000000"/>
          <w:lang w:eastAsia="pl-PL"/>
        </w:rPr>
        <w:t>peratorowi</w:t>
      </w:r>
      <w:r w:rsidRPr="00E62D76">
        <w:rPr>
          <w:rFonts w:ascii="Arial" w:eastAsia="Arial" w:hAnsi="Arial" w:cs="Arial"/>
          <w:color w:val="000000"/>
          <w:lang w:eastAsia="pl-PL"/>
        </w:rPr>
        <w:t xml:space="preserve"> przysługuj</w:t>
      </w:r>
      <w:r w:rsidR="001816A0">
        <w:rPr>
          <w:rFonts w:ascii="Arial" w:eastAsia="Arial" w:hAnsi="Arial" w:cs="Arial"/>
          <w:color w:val="000000"/>
          <w:lang w:eastAsia="pl-PL"/>
        </w:rPr>
        <w:t>e</w:t>
      </w:r>
      <w:r w:rsidR="00590DA6" w:rsidRPr="00E62D76">
        <w:rPr>
          <w:rFonts w:ascii="Arial" w:eastAsia="Arial" w:hAnsi="Arial" w:cs="Arial"/>
          <w:color w:val="000000"/>
          <w:lang w:eastAsia="pl-PL"/>
        </w:rPr>
        <w:t xml:space="preserve"> w całości</w:t>
      </w:r>
      <w:r w:rsidR="00AA5367">
        <w:rPr>
          <w:rFonts w:ascii="Arial" w:eastAsia="Arial" w:hAnsi="Arial" w:cs="Arial"/>
          <w:color w:val="000000"/>
          <w:lang w:eastAsia="pl-PL"/>
        </w:rPr>
        <w:t xml:space="preserve"> suma</w:t>
      </w:r>
      <w:r w:rsidR="00590DA6" w:rsidRPr="00E62D76">
        <w:rPr>
          <w:rFonts w:ascii="Arial" w:eastAsia="Arial" w:hAnsi="Arial" w:cs="Arial"/>
          <w:color w:val="000000"/>
          <w:lang w:eastAsia="pl-PL"/>
        </w:rPr>
        <w:t xml:space="preserve"> Przychod</w:t>
      </w:r>
      <w:r w:rsidR="00AA5367">
        <w:rPr>
          <w:rFonts w:ascii="Arial" w:eastAsia="Arial" w:hAnsi="Arial" w:cs="Arial"/>
          <w:color w:val="000000"/>
          <w:lang w:eastAsia="pl-PL"/>
        </w:rPr>
        <w:t>ów</w:t>
      </w:r>
      <w:r w:rsidR="00590DA6" w:rsidRPr="00E62D76">
        <w:rPr>
          <w:rFonts w:ascii="Arial" w:eastAsia="Arial" w:hAnsi="Arial" w:cs="Arial"/>
          <w:color w:val="000000"/>
          <w:lang w:eastAsia="pl-PL"/>
        </w:rPr>
        <w:t xml:space="preserve"> Taryfow</w:t>
      </w:r>
      <w:r w:rsidR="00AA5367">
        <w:rPr>
          <w:rFonts w:ascii="Arial" w:eastAsia="Arial" w:hAnsi="Arial" w:cs="Arial"/>
          <w:color w:val="000000"/>
          <w:lang w:eastAsia="pl-PL"/>
        </w:rPr>
        <w:t>ych oraz Przychodów Pozataryfowych</w:t>
      </w:r>
      <w:r w:rsidR="00590DA6" w:rsidRPr="00E62D76">
        <w:rPr>
          <w:rFonts w:ascii="Arial" w:eastAsia="Arial" w:hAnsi="Arial" w:cs="Arial"/>
          <w:color w:val="000000"/>
          <w:lang w:eastAsia="pl-PL"/>
        </w:rPr>
        <w:t xml:space="preserve"> do wysokości Przychodu Gwarantowanego. </w:t>
      </w:r>
      <w:r w:rsidRPr="00E62D76">
        <w:rPr>
          <w:rFonts w:ascii="Arial" w:eastAsia="Arial" w:hAnsi="Arial" w:cs="Arial"/>
          <w:color w:val="000000"/>
          <w:lang w:eastAsia="pl-PL"/>
        </w:rPr>
        <w:t>Przychody przekraczające poziom Przychodu Gwarantowanego</w:t>
      </w:r>
      <w:r w:rsidR="00590DA6" w:rsidRPr="00E62D76">
        <w:rPr>
          <w:rFonts w:ascii="Arial" w:eastAsia="Arial" w:hAnsi="Arial" w:cs="Arial"/>
          <w:color w:val="000000"/>
          <w:lang w:eastAsia="pl-PL"/>
        </w:rPr>
        <w:t xml:space="preserve"> przysługują Organizatorowi</w:t>
      </w:r>
      <w:r w:rsidRPr="00E62D76">
        <w:rPr>
          <w:rFonts w:ascii="Arial" w:eastAsia="Arial" w:hAnsi="Arial" w:cs="Arial"/>
          <w:color w:val="000000"/>
          <w:lang w:eastAsia="pl-PL"/>
        </w:rPr>
        <w:t xml:space="preserve">, przy czym Operator jest uprawniony do zachowania w ramach części </w:t>
      </w:r>
      <w:r w:rsidR="009F330E">
        <w:rPr>
          <w:rFonts w:ascii="Arial" w:eastAsia="Arial" w:hAnsi="Arial" w:cs="Arial"/>
          <w:color w:val="000000"/>
          <w:lang w:eastAsia="pl-PL"/>
        </w:rPr>
        <w:t xml:space="preserve">dodatkowej </w:t>
      </w:r>
      <w:r w:rsidRPr="00784512">
        <w:rPr>
          <w:rFonts w:ascii="Arial" w:eastAsia="Arial" w:hAnsi="Arial" w:cs="Arial"/>
          <w:color w:val="000000"/>
          <w:lang w:eastAsia="pl-PL"/>
        </w:rPr>
        <w:t xml:space="preserve">Rozsądnego Zysku do </w:t>
      </w:r>
      <w:r w:rsidR="003E6A31">
        <w:rPr>
          <w:rFonts w:ascii="Arial" w:eastAsia="Arial" w:hAnsi="Arial" w:cs="Arial"/>
          <w:color w:val="000000"/>
          <w:lang w:eastAsia="pl-PL"/>
        </w:rPr>
        <w:t>2</w:t>
      </w:r>
      <w:r w:rsidRPr="00784512">
        <w:rPr>
          <w:rFonts w:ascii="Arial" w:eastAsia="Arial" w:hAnsi="Arial" w:cs="Arial"/>
          <w:color w:val="000000"/>
          <w:lang w:eastAsia="pl-PL"/>
        </w:rPr>
        <w:t>0 % nadwyżki ponad Przychód Gwarantowany na zasadach określonych w pkt 5.2.2.</w:t>
      </w:r>
      <w:r w:rsidRPr="00E62D76">
        <w:rPr>
          <w:rFonts w:ascii="Arial" w:eastAsia="Arial" w:hAnsi="Arial" w:cs="Arial"/>
          <w:color w:val="000000"/>
          <w:lang w:eastAsia="pl-PL"/>
        </w:rPr>
        <w:t xml:space="preserve"> </w:t>
      </w:r>
    </w:p>
    <w:p w14:paraId="74BF637C" w14:textId="44BFE5E7" w:rsidR="002F56F6" w:rsidRPr="00E62D76" w:rsidRDefault="00285732" w:rsidP="00D950AF">
      <w:pPr>
        <w:numPr>
          <w:ilvl w:val="1"/>
          <w:numId w:val="1"/>
        </w:numPr>
        <w:ind w:left="567" w:hanging="283"/>
        <w:contextualSpacing/>
        <w:jc w:val="both"/>
        <w:rPr>
          <w:rFonts w:ascii="Arial" w:hAnsi="Arial" w:cs="Arial"/>
        </w:rPr>
      </w:pPr>
      <w:r w:rsidRPr="00E62D76">
        <w:rPr>
          <w:rFonts w:ascii="Arial" w:eastAsia="Arial" w:hAnsi="Arial" w:cs="Arial"/>
          <w:color w:val="000000"/>
          <w:lang w:eastAsia="pl-PL"/>
        </w:rPr>
        <w:t xml:space="preserve">Organizator może </w:t>
      </w:r>
      <w:r w:rsidR="00B15594">
        <w:rPr>
          <w:rFonts w:ascii="Arial" w:eastAsia="Arial" w:hAnsi="Arial" w:cs="Arial"/>
          <w:color w:val="000000"/>
          <w:lang w:eastAsia="pl-PL"/>
        </w:rPr>
        <w:t>zmienić</w:t>
      </w:r>
      <w:r w:rsidR="00B15594" w:rsidRPr="00E62D76">
        <w:rPr>
          <w:rFonts w:ascii="Arial" w:eastAsia="Arial" w:hAnsi="Arial" w:cs="Arial"/>
          <w:color w:val="000000"/>
          <w:lang w:eastAsia="pl-PL"/>
        </w:rPr>
        <w:t xml:space="preserve"> </w:t>
      </w:r>
      <w:r w:rsidRPr="00E62D76">
        <w:rPr>
          <w:rFonts w:ascii="Arial" w:eastAsia="Arial" w:hAnsi="Arial" w:cs="Arial"/>
          <w:color w:val="000000"/>
          <w:lang w:eastAsia="pl-PL"/>
        </w:rPr>
        <w:t>prognozę Przychodów w Rocznym Planie Finansowym przyjmowanym na kolejny Okres Rozliczeniowy</w:t>
      </w:r>
      <w:r w:rsidR="002F56F6" w:rsidRPr="00E62D76">
        <w:rPr>
          <w:rFonts w:ascii="Arial" w:hAnsi="Arial" w:cs="Arial"/>
        </w:rPr>
        <w:t xml:space="preserve"> w stosunku do Przychodu</w:t>
      </w:r>
      <w:r w:rsidR="00E62D76">
        <w:rPr>
          <w:rFonts w:ascii="Arial" w:hAnsi="Arial" w:cs="Arial"/>
        </w:rPr>
        <w:t xml:space="preserve"> </w:t>
      </w:r>
      <w:r w:rsidR="002F56F6" w:rsidRPr="00E62D76">
        <w:rPr>
          <w:rFonts w:ascii="Arial" w:hAnsi="Arial" w:cs="Arial"/>
        </w:rPr>
        <w:t>Gwarantowanego określone</w:t>
      </w:r>
      <w:r w:rsidR="00F60472">
        <w:rPr>
          <w:rFonts w:ascii="Arial" w:hAnsi="Arial" w:cs="Arial"/>
        </w:rPr>
        <w:t>go</w:t>
      </w:r>
      <w:r w:rsidR="002F56F6" w:rsidRPr="00E62D76">
        <w:rPr>
          <w:rFonts w:ascii="Arial" w:hAnsi="Arial" w:cs="Arial"/>
        </w:rPr>
        <w:t xml:space="preserve"> na pierwszy Okres Rozliczeniowy</w:t>
      </w:r>
      <w:r w:rsidR="0085632A" w:rsidRPr="00E62D76">
        <w:rPr>
          <w:rFonts w:ascii="Arial" w:hAnsi="Arial" w:cs="Arial"/>
        </w:rPr>
        <w:t>.</w:t>
      </w:r>
      <w:r w:rsidR="00314AC1" w:rsidRPr="00314AC1">
        <w:t xml:space="preserve"> </w:t>
      </w:r>
      <w:r w:rsidR="00314AC1" w:rsidRPr="00314AC1">
        <w:rPr>
          <w:rFonts w:ascii="Arial" w:hAnsi="Arial" w:cs="Arial"/>
        </w:rPr>
        <w:t xml:space="preserve">Zmiana ta nie może doprowadzić do obniżenia Przychodu Gwarantowanego </w:t>
      </w:r>
      <w:r w:rsidR="00772F2D">
        <w:rPr>
          <w:rFonts w:ascii="Arial" w:hAnsi="Arial" w:cs="Arial"/>
        </w:rPr>
        <w:t>poniżej poziomu określonego na p</w:t>
      </w:r>
      <w:r w:rsidR="00314AC1" w:rsidRPr="00314AC1">
        <w:rPr>
          <w:rFonts w:ascii="Arial" w:hAnsi="Arial" w:cs="Arial"/>
        </w:rPr>
        <w:t>ierwszy Okres Rozliczeniowy</w:t>
      </w:r>
      <w:r w:rsidR="00314AC1">
        <w:rPr>
          <w:rFonts w:ascii="Arial" w:hAnsi="Arial" w:cs="Arial"/>
        </w:rPr>
        <w:t>.</w:t>
      </w:r>
    </w:p>
    <w:p w14:paraId="3DAEB9EF" w14:textId="7D3E3812" w:rsidR="00285732" w:rsidRPr="00E62D76" w:rsidRDefault="00285732" w:rsidP="008659DB">
      <w:pPr>
        <w:numPr>
          <w:ilvl w:val="1"/>
          <w:numId w:val="1"/>
        </w:numPr>
        <w:spacing w:after="124" w:line="240" w:lineRule="auto"/>
        <w:ind w:left="568" w:right="6" w:hanging="284"/>
        <w:jc w:val="both"/>
        <w:rPr>
          <w:rFonts w:ascii="Arial" w:eastAsia="Arial" w:hAnsi="Arial" w:cs="Arial"/>
          <w:color w:val="000000"/>
          <w:lang w:eastAsia="pl-PL"/>
        </w:rPr>
      </w:pPr>
      <w:r w:rsidRPr="00E62D76">
        <w:rPr>
          <w:rFonts w:ascii="Arial" w:eastAsia="Arial" w:hAnsi="Arial" w:cs="Arial"/>
          <w:color w:val="000000"/>
          <w:lang w:eastAsia="pl-PL"/>
        </w:rPr>
        <w:t xml:space="preserve">W przypadku nieosiągnięcia przez Operatora </w:t>
      </w:r>
      <w:r w:rsidR="00F60472">
        <w:rPr>
          <w:rFonts w:ascii="Arial" w:eastAsia="Arial" w:hAnsi="Arial" w:cs="Arial"/>
          <w:color w:val="000000"/>
          <w:lang w:eastAsia="pl-PL"/>
        </w:rPr>
        <w:t>założonego</w:t>
      </w:r>
      <w:r w:rsidR="00550E1E">
        <w:rPr>
          <w:rFonts w:ascii="Arial" w:eastAsia="Arial" w:hAnsi="Arial" w:cs="Arial"/>
          <w:color w:val="000000"/>
          <w:lang w:eastAsia="pl-PL"/>
        </w:rPr>
        <w:t xml:space="preserve"> </w:t>
      </w:r>
      <w:r w:rsidR="00E62D76">
        <w:rPr>
          <w:rFonts w:ascii="Arial" w:eastAsia="Arial" w:hAnsi="Arial" w:cs="Arial"/>
          <w:color w:val="000000"/>
          <w:lang w:eastAsia="pl-PL"/>
        </w:rPr>
        <w:t>poziomu Przychodu Gwarantowanego</w:t>
      </w:r>
      <w:r w:rsidRPr="00E62D76">
        <w:rPr>
          <w:rFonts w:ascii="Arial" w:eastAsia="Arial" w:hAnsi="Arial" w:cs="Arial"/>
          <w:color w:val="000000"/>
          <w:lang w:eastAsia="pl-PL"/>
        </w:rPr>
        <w:t xml:space="preserve"> w dwóch kolejnych Okres</w:t>
      </w:r>
      <w:r w:rsidR="00F60472">
        <w:rPr>
          <w:rFonts w:ascii="Arial" w:eastAsia="Arial" w:hAnsi="Arial" w:cs="Arial"/>
          <w:color w:val="000000"/>
          <w:lang w:eastAsia="pl-PL"/>
        </w:rPr>
        <w:t>ach</w:t>
      </w:r>
      <w:r w:rsidR="00550E1E">
        <w:rPr>
          <w:rFonts w:ascii="Arial" w:eastAsia="Arial" w:hAnsi="Arial" w:cs="Arial"/>
          <w:color w:val="000000"/>
          <w:lang w:eastAsia="pl-PL"/>
        </w:rPr>
        <w:t xml:space="preserve"> </w:t>
      </w:r>
      <w:r w:rsidR="00F60472">
        <w:rPr>
          <w:rFonts w:ascii="Arial" w:eastAsia="Arial" w:hAnsi="Arial" w:cs="Arial"/>
          <w:color w:val="000000"/>
          <w:lang w:eastAsia="pl-PL"/>
        </w:rPr>
        <w:t>Sprawozdawczych</w:t>
      </w:r>
      <w:r w:rsidRPr="00E62D76">
        <w:rPr>
          <w:rFonts w:ascii="Arial" w:eastAsia="Arial" w:hAnsi="Arial" w:cs="Arial"/>
          <w:color w:val="000000"/>
          <w:lang w:eastAsia="pl-PL"/>
        </w:rPr>
        <w:t xml:space="preserve">, Organizator działając na wniosek Operatora złożony najpóźniej wraz ze sprawozdaniem rocznym za ten okres wypłaca Operatorowi Świadczenie Kompensacyjne w terminie do </w:t>
      </w:r>
      <w:r w:rsidR="00AA631D" w:rsidRPr="00E62D76">
        <w:rPr>
          <w:rFonts w:ascii="Arial" w:eastAsia="Arial" w:hAnsi="Arial" w:cs="Arial"/>
          <w:color w:val="000000"/>
          <w:lang w:eastAsia="pl-PL"/>
        </w:rPr>
        <w:t>60</w:t>
      </w:r>
      <w:r w:rsidRPr="00E62D76">
        <w:rPr>
          <w:rFonts w:ascii="Arial" w:eastAsia="Arial" w:hAnsi="Arial" w:cs="Arial"/>
          <w:color w:val="000000"/>
          <w:lang w:eastAsia="pl-PL"/>
        </w:rPr>
        <w:t xml:space="preserve"> dni od otrzymania</w:t>
      </w:r>
      <w:r w:rsidR="00AA631D" w:rsidRPr="00E62D76">
        <w:rPr>
          <w:rFonts w:ascii="Arial" w:eastAsia="Arial" w:hAnsi="Arial" w:cs="Arial"/>
          <w:color w:val="000000"/>
          <w:lang w:eastAsia="pl-PL"/>
        </w:rPr>
        <w:t xml:space="preserve"> poprawnie sporządzonego</w:t>
      </w:r>
      <w:r w:rsidRPr="00E62D76">
        <w:rPr>
          <w:rFonts w:ascii="Arial" w:eastAsia="Arial" w:hAnsi="Arial" w:cs="Arial"/>
          <w:color w:val="000000"/>
          <w:lang w:eastAsia="pl-PL"/>
        </w:rPr>
        <w:t xml:space="preserve"> wniosku.</w:t>
      </w:r>
    </w:p>
    <w:p w14:paraId="731FEC8C" w14:textId="10E3AC82" w:rsidR="00285732" w:rsidRPr="00E62D76" w:rsidRDefault="00EE4086" w:rsidP="008659DB">
      <w:pPr>
        <w:numPr>
          <w:ilvl w:val="0"/>
          <w:numId w:val="1"/>
        </w:numPr>
        <w:spacing w:before="120" w:after="120" w:line="240" w:lineRule="auto"/>
        <w:ind w:left="1077" w:right="6"/>
        <w:jc w:val="both"/>
        <w:rPr>
          <w:rFonts w:ascii="Arial" w:eastAsia="Arial" w:hAnsi="Arial" w:cs="Arial"/>
          <w:b/>
          <w:color w:val="000000"/>
          <w:lang w:eastAsia="pl-PL"/>
        </w:rPr>
      </w:pPr>
      <w:r>
        <w:rPr>
          <w:rFonts w:ascii="Arial" w:eastAsia="Arial" w:hAnsi="Arial" w:cs="Arial"/>
          <w:b/>
          <w:color w:val="000000"/>
          <w:lang w:eastAsia="pl-PL"/>
        </w:rPr>
        <w:t>Zakaz subsydiowania skrośnego</w:t>
      </w:r>
    </w:p>
    <w:p w14:paraId="2AC2B830" w14:textId="5B44C187" w:rsidR="00285732" w:rsidRPr="00E62D76" w:rsidRDefault="00285732" w:rsidP="00EE4086">
      <w:pPr>
        <w:numPr>
          <w:ilvl w:val="1"/>
          <w:numId w:val="1"/>
        </w:numPr>
        <w:spacing w:after="124" w:line="240" w:lineRule="auto"/>
        <w:ind w:right="6"/>
        <w:jc w:val="both"/>
        <w:rPr>
          <w:rFonts w:ascii="Arial" w:eastAsia="Arial" w:hAnsi="Arial" w:cs="Arial"/>
          <w:color w:val="000000"/>
          <w:lang w:eastAsia="pl-PL"/>
        </w:rPr>
      </w:pPr>
      <w:r w:rsidRPr="00E62D76">
        <w:rPr>
          <w:rFonts w:ascii="Arial" w:eastAsia="Arial" w:hAnsi="Arial" w:cs="Arial"/>
          <w:color w:val="000000"/>
          <w:lang w:eastAsia="pl-PL"/>
        </w:rPr>
        <w:t>Operator</w:t>
      </w:r>
      <w:r w:rsidR="00EE4086" w:rsidRPr="00EE4086">
        <w:t xml:space="preserve"> </w:t>
      </w:r>
      <w:r w:rsidR="00EE4086" w:rsidRPr="00EE4086">
        <w:rPr>
          <w:rFonts w:ascii="Arial" w:eastAsia="Arial" w:hAnsi="Arial" w:cs="Arial"/>
          <w:color w:val="000000"/>
          <w:lang w:eastAsia="pl-PL"/>
        </w:rPr>
        <w:t xml:space="preserve">jest </w:t>
      </w:r>
      <w:r w:rsidR="00EE4086">
        <w:rPr>
          <w:rFonts w:ascii="Arial" w:eastAsia="Arial" w:hAnsi="Arial" w:cs="Arial"/>
          <w:color w:val="000000"/>
          <w:lang w:eastAsia="pl-PL"/>
        </w:rPr>
        <w:t>z</w:t>
      </w:r>
      <w:r w:rsidR="00EE4086" w:rsidRPr="00EE4086">
        <w:rPr>
          <w:rFonts w:ascii="Arial" w:eastAsia="Arial" w:hAnsi="Arial" w:cs="Arial"/>
          <w:color w:val="000000"/>
          <w:lang w:eastAsia="pl-PL"/>
        </w:rPr>
        <w:t>obowiązany do prowadzenia oddzielnej rachunkowości dla usług świ</w:t>
      </w:r>
      <w:r w:rsidR="00EE4086">
        <w:rPr>
          <w:rFonts w:ascii="Arial" w:eastAsia="Arial" w:hAnsi="Arial" w:cs="Arial"/>
          <w:color w:val="000000"/>
          <w:lang w:eastAsia="pl-PL"/>
        </w:rPr>
        <w:t>adczonych na podstawie Umowy,</w:t>
      </w:r>
      <w:r w:rsidR="009F330E">
        <w:rPr>
          <w:rFonts w:ascii="Arial" w:eastAsia="Arial" w:hAnsi="Arial" w:cs="Arial"/>
          <w:color w:val="000000"/>
          <w:lang w:eastAsia="pl-PL"/>
        </w:rPr>
        <w:t xml:space="preserve"> </w:t>
      </w:r>
      <w:r w:rsidR="00EE4086" w:rsidRPr="00EE4086">
        <w:rPr>
          <w:rFonts w:ascii="Arial" w:eastAsia="Arial" w:hAnsi="Arial" w:cs="Arial"/>
          <w:color w:val="000000"/>
          <w:lang w:eastAsia="pl-PL"/>
        </w:rPr>
        <w:t>z uwzględnieniem</w:t>
      </w:r>
      <w:r w:rsidR="00467288" w:rsidRPr="00467288">
        <w:rPr>
          <w:rFonts w:ascii="Arial" w:eastAsia="Arial" w:hAnsi="Arial" w:cs="Arial"/>
          <w:color w:val="000000"/>
          <w:lang w:eastAsia="pl-PL"/>
        </w:rPr>
        <w:t xml:space="preserve"> wymagań określonych w art. 58 i 58a ustawy o PTZ</w:t>
      </w:r>
      <w:r w:rsidR="00467288">
        <w:rPr>
          <w:rFonts w:ascii="Arial" w:eastAsia="Arial" w:hAnsi="Arial" w:cs="Arial"/>
          <w:color w:val="000000"/>
          <w:lang w:eastAsia="pl-PL"/>
        </w:rPr>
        <w:t>,  tym</w:t>
      </w:r>
      <w:r w:rsidR="00BF7C1E">
        <w:rPr>
          <w:rFonts w:ascii="Arial" w:eastAsia="Arial" w:hAnsi="Arial" w:cs="Arial"/>
          <w:color w:val="000000"/>
          <w:lang w:eastAsia="pl-PL"/>
        </w:rPr>
        <w:t xml:space="preserve"> zakazu przenoszenia środków przeznaczonych na realizację Umowy na inny rodzaj prowadzonej działalności</w:t>
      </w:r>
      <w:r w:rsidR="00EE4086" w:rsidRPr="00EE4086">
        <w:rPr>
          <w:rFonts w:ascii="Arial" w:eastAsia="Arial" w:hAnsi="Arial" w:cs="Arial"/>
          <w:color w:val="000000"/>
          <w:lang w:eastAsia="pl-PL"/>
        </w:rPr>
        <w:t>.</w:t>
      </w:r>
    </w:p>
    <w:p w14:paraId="04F30C8B" w14:textId="77777777" w:rsidR="00285732" w:rsidRPr="00E62D76" w:rsidRDefault="00285732" w:rsidP="008659DB">
      <w:pPr>
        <w:numPr>
          <w:ilvl w:val="0"/>
          <w:numId w:val="1"/>
        </w:numPr>
        <w:spacing w:before="120" w:after="120" w:line="240" w:lineRule="auto"/>
        <w:ind w:left="1077" w:right="6"/>
        <w:jc w:val="both"/>
        <w:rPr>
          <w:rFonts w:ascii="Arial" w:eastAsia="Arial" w:hAnsi="Arial" w:cs="Arial"/>
          <w:b/>
          <w:color w:val="000000"/>
          <w:lang w:eastAsia="pl-PL"/>
        </w:rPr>
      </w:pPr>
      <w:r w:rsidRPr="00E62D76">
        <w:rPr>
          <w:rFonts w:ascii="Arial" w:eastAsia="Arial" w:hAnsi="Arial" w:cs="Arial"/>
          <w:b/>
          <w:color w:val="000000"/>
          <w:lang w:eastAsia="pl-PL"/>
        </w:rPr>
        <w:t xml:space="preserve">Koszty Kwalifikowane </w:t>
      </w:r>
    </w:p>
    <w:p w14:paraId="7B34D5BB" w14:textId="49E2B9EE" w:rsidR="00285732" w:rsidRPr="00E62D76" w:rsidRDefault="00285732" w:rsidP="00D950AF">
      <w:pPr>
        <w:numPr>
          <w:ilvl w:val="1"/>
          <w:numId w:val="1"/>
        </w:numPr>
        <w:spacing w:after="124" w:line="240" w:lineRule="auto"/>
        <w:ind w:left="567" w:right="5" w:hanging="283"/>
        <w:contextualSpacing/>
        <w:jc w:val="both"/>
        <w:rPr>
          <w:rFonts w:ascii="Arial" w:eastAsia="Arial" w:hAnsi="Arial" w:cs="Arial"/>
          <w:color w:val="000000"/>
          <w:lang w:eastAsia="pl-PL"/>
        </w:rPr>
      </w:pPr>
      <w:r w:rsidRPr="00E62D76">
        <w:rPr>
          <w:rFonts w:ascii="Arial" w:eastAsia="Arial" w:hAnsi="Arial" w:cs="Arial"/>
          <w:color w:val="000000"/>
          <w:lang w:eastAsia="pl-PL"/>
        </w:rPr>
        <w:t>Operator zapewnia w ramach własnego systemu rachunkowości odpowiednie ewidencjonowanie i alokację kosztów,</w:t>
      </w:r>
      <w:r w:rsidR="007B7B26">
        <w:rPr>
          <w:rFonts w:ascii="Arial" w:eastAsia="Arial" w:hAnsi="Arial" w:cs="Arial"/>
          <w:color w:val="000000"/>
          <w:lang w:eastAsia="pl-PL"/>
        </w:rPr>
        <w:t xml:space="preserve"> aby zapewnić skutek w postaci </w:t>
      </w:r>
      <w:r w:rsidRPr="00E62D76">
        <w:rPr>
          <w:rFonts w:ascii="Arial" w:eastAsia="Arial" w:hAnsi="Arial" w:cs="Arial"/>
          <w:color w:val="000000"/>
          <w:lang w:eastAsia="pl-PL"/>
        </w:rPr>
        <w:t>możliwości przypisania określonych kosztów do działalności wykonywanej na podstawie Umowy</w:t>
      </w:r>
      <w:r w:rsidR="00290AD1">
        <w:rPr>
          <w:rFonts w:ascii="Arial" w:eastAsia="Arial" w:hAnsi="Arial" w:cs="Arial"/>
          <w:color w:val="000000"/>
          <w:lang w:eastAsia="pl-PL"/>
        </w:rPr>
        <w:t>.</w:t>
      </w:r>
    </w:p>
    <w:p w14:paraId="34F871B4" w14:textId="293CBDD6" w:rsidR="00285732" w:rsidRPr="004A14E6" w:rsidRDefault="00285732" w:rsidP="00D950AF">
      <w:pPr>
        <w:numPr>
          <w:ilvl w:val="1"/>
          <w:numId w:val="1"/>
        </w:numPr>
        <w:spacing w:after="124" w:line="240" w:lineRule="auto"/>
        <w:ind w:left="567" w:right="5"/>
        <w:contextualSpacing/>
        <w:jc w:val="both"/>
        <w:rPr>
          <w:rFonts w:ascii="Arial" w:eastAsia="Arial" w:hAnsi="Arial" w:cs="Arial"/>
          <w:color w:val="000000"/>
          <w:lang w:eastAsia="pl-PL"/>
        </w:rPr>
      </w:pPr>
      <w:r w:rsidRPr="00E62D76">
        <w:rPr>
          <w:rFonts w:ascii="Arial" w:eastAsia="Arial" w:hAnsi="Arial" w:cs="Arial"/>
          <w:color w:val="000000"/>
          <w:lang w:eastAsia="pl-PL"/>
        </w:rPr>
        <w:t>Na potrzeby realizacji Umowy Koszty Kwalifikowane dzieli się na kategorie określone w tabeli. Wskazane w tabeli pozycje kosztowe nie stanowią enumeratywnego katalogu, lecz służą właściwej prezentacji</w:t>
      </w:r>
      <w:r w:rsidR="00BC28D6">
        <w:rPr>
          <w:rFonts w:ascii="Arial" w:eastAsia="Arial" w:hAnsi="Arial" w:cs="Arial"/>
          <w:color w:val="000000"/>
          <w:lang w:eastAsia="pl-PL"/>
        </w:rPr>
        <w:t xml:space="preserve"> danych finansowych</w:t>
      </w:r>
      <w:r w:rsidRPr="00E62D76">
        <w:rPr>
          <w:rFonts w:ascii="Arial" w:eastAsia="Arial" w:hAnsi="Arial" w:cs="Arial"/>
          <w:color w:val="000000"/>
          <w:lang w:eastAsia="pl-PL"/>
        </w:rPr>
        <w:t xml:space="preserve"> i </w:t>
      </w:r>
      <w:r w:rsidRPr="004A14E6">
        <w:rPr>
          <w:rFonts w:ascii="Arial" w:eastAsia="Arial" w:hAnsi="Arial" w:cs="Arial"/>
          <w:color w:val="000000"/>
          <w:lang w:eastAsia="pl-PL"/>
        </w:rPr>
        <w:t>przyporządkowani</w:t>
      </w:r>
      <w:r w:rsidR="00FD63F0" w:rsidRPr="004A14E6">
        <w:rPr>
          <w:rFonts w:ascii="Arial" w:eastAsia="Arial" w:hAnsi="Arial" w:cs="Arial"/>
          <w:color w:val="000000"/>
          <w:lang w:eastAsia="pl-PL"/>
        </w:rPr>
        <w:t>u</w:t>
      </w:r>
      <w:r w:rsidRPr="004A14E6">
        <w:rPr>
          <w:rFonts w:ascii="Arial" w:eastAsia="Arial" w:hAnsi="Arial" w:cs="Arial"/>
          <w:color w:val="000000"/>
          <w:lang w:eastAsia="pl-PL"/>
        </w:rPr>
        <w:t xml:space="preserve"> kosztu do odpowiedniej kategorii. </w:t>
      </w:r>
    </w:p>
    <w:p w14:paraId="3A2EC927" w14:textId="1BA40653" w:rsidR="00285732" w:rsidRPr="004A14E6" w:rsidRDefault="004A14E6" w:rsidP="004A14E6">
      <w:pPr>
        <w:pStyle w:val="Legenda"/>
        <w:keepNext/>
        <w:jc w:val="both"/>
        <w:rPr>
          <w:rFonts w:ascii="Arial" w:hAnsi="Arial" w:cs="Arial"/>
          <w:sz w:val="20"/>
        </w:rPr>
      </w:pPr>
      <w:r w:rsidRPr="004A14E6">
        <w:rPr>
          <w:rFonts w:ascii="Arial" w:hAnsi="Arial" w:cs="Arial"/>
          <w:sz w:val="20"/>
        </w:rPr>
        <w:t>Tabela</w:t>
      </w:r>
      <w:r w:rsidR="007F6F50">
        <w:rPr>
          <w:rFonts w:ascii="Arial" w:hAnsi="Arial" w:cs="Arial"/>
          <w:sz w:val="20"/>
        </w:rPr>
        <w:t xml:space="preserve"> 1:</w:t>
      </w:r>
      <w:r w:rsidRPr="004A14E6">
        <w:rPr>
          <w:rFonts w:ascii="Arial" w:hAnsi="Arial" w:cs="Arial"/>
          <w:sz w:val="20"/>
        </w:rPr>
        <w:t xml:space="preserve">  Kategorie Kosztów Kwalifikowanych: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  <w:tblCaption w:val="Tabela piewsza zawierająca Kategorie Kosztów Kwalifikowanych:"/>
      </w:tblPr>
      <w:tblGrid>
        <w:gridCol w:w="546"/>
        <w:gridCol w:w="2854"/>
        <w:gridCol w:w="3263"/>
        <w:gridCol w:w="2399"/>
      </w:tblGrid>
      <w:tr w:rsidR="00285732" w:rsidRPr="00E62D76" w14:paraId="6F7E6070" w14:textId="77777777" w:rsidTr="00591549">
        <w:trPr>
          <w:tblHeader/>
        </w:trPr>
        <w:tc>
          <w:tcPr>
            <w:tcW w:w="540" w:type="dxa"/>
            <w:vAlign w:val="center"/>
          </w:tcPr>
          <w:p w14:paraId="2FE7B0F0" w14:textId="77777777" w:rsidR="00285732" w:rsidRPr="00E62D76" w:rsidRDefault="00285732" w:rsidP="00285732">
            <w:pPr>
              <w:spacing w:after="124"/>
              <w:contextualSpacing/>
              <w:jc w:val="center"/>
              <w:rPr>
                <w:rFonts w:ascii="Arial" w:eastAsia="Arial" w:hAnsi="Arial" w:cs="Arial"/>
                <w:b/>
                <w:color w:val="000000"/>
                <w:lang w:eastAsia="pl-PL"/>
              </w:rPr>
            </w:pPr>
            <w:r w:rsidRPr="00E62D76">
              <w:rPr>
                <w:rFonts w:ascii="Arial" w:eastAsia="Arial" w:hAnsi="Arial" w:cs="Arial"/>
                <w:b/>
                <w:color w:val="000000"/>
                <w:lang w:eastAsia="pl-PL"/>
              </w:rPr>
              <w:t>Lp.</w:t>
            </w:r>
          </w:p>
        </w:tc>
        <w:tc>
          <w:tcPr>
            <w:tcW w:w="2882" w:type="dxa"/>
            <w:vAlign w:val="center"/>
          </w:tcPr>
          <w:p w14:paraId="667BC3DF" w14:textId="77777777" w:rsidR="00285732" w:rsidRPr="00E62D76" w:rsidRDefault="00285732" w:rsidP="00285732">
            <w:pPr>
              <w:spacing w:after="124"/>
              <w:contextualSpacing/>
              <w:jc w:val="center"/>
              <w:rPr>
                <w:rFonts w:ascii="Arial" w:eastAsia="Arial" w:hAnsi="Arial" w:cs="Arial"/>
                <w:b/>
                <w:color w:val="000000"/>
                <w:lang w:eastAsia="pl-PL"/>
              </w:rPr>
            </w:pPr>
            <w:r w:rsidRPr="00E62D76">
              <w:rPr>
                <w:rFonts w:ascii="Arial" w:eastAsia="Arial" w:hAnsi="Arial" w:cs="Arial"/>
                <w:b/>
                <w:color w:val="000000"/>
                <w:lang w:eastAsia="pl-PL"/>
              </w:rPr>
              <w:t>Kategoria Kosztu Kwalifikowanego</w:t>
            </w:r>
          </w:p>
        </w:tc>
        <w:tc>
          <w:tcPr>
            <w:tcW w:w="3302" w:type="dxa"/>
            <w:vAlign w:val="center"/>
          </w:tcPr>
          <w:p w14:paraId="3516364D" w14:textId="77777777" w:rsidR="00285732" w:rsidRPr="00E62D76" w:rsidRDefault="00285732" w:rsidP="00285732">
            <w:pPr>
              <w:spacing w:after="124"/>
              <w:contextualSpacing/>
              <w:jc w:val="center"/>
              <w:rPr>
                <w:rFonts w:ascii="Arial" w:eastAsia="Arial" w:hAnsi="Arial" w:cs="Arial"/>
                <w:b/>
                <w:color w:val="000000"/>
                <w:lang w:eastAsia="pl-PL"/>
              </w:rPr>
            </w:pPr>
            <w:r w:rsidRPr="00E62D76">
              <w:rPr>
                <w:rFonts w:ascii="Arial" w:eastAsia="Arial" w:hAnsi="Arial" w:cs="Arial"/>
                <w:b/>
                <w:color w:val="000000"/>
                <w:lang w:eastAsia="pl-PL"/>
              </w:rPr>
              <w:t>Objaśnienie</w:t>
            </w:r>
          </w:p>
        </w:tc>
        <w:tc>
          <w:tcPr>
            <w:tcW w:w="2420" w:type="dxa"/>
            <w:vAlign w:val="center"/>
          </w:tcPr>
          <w:p w14:paraId="302DFE37" w14:textId="77777777" w:rsidR="00285732" w:rsidRPr="00E62D76" w:rsidRDefault="00285732" w:rsidP="00285732">
            <w:pPr>
              <w:spacing w:after="124"/>
              <w:contextualSpacing/>
              <w:jc w:val="center"/>
              <w:rPr>
                <w:rFonts w:ascii="Arial" w:eastAsia="Arial" w:hAnsi="Arial" w:cs="Arial"/>
                <w:b/>
                <w:color w:val="000000"/>
                <w:lang w:eastAsia="pl-PL"/>
              </w:rPr>
            </w:pPr>
            <w:r w:rsidRPr="00E62D76">
              <w:rPr>
                <w:rFonts w:ascii="Arial" w:eastAsia="Arial" w:hAnsi="Arial" w:cs="Arial"/>
                <w:b/>
                <w:color w:val="000000"/>
                <w:lang w:eastAsia="pl-PL"/>
              </w:rPr>
              <w:t>Waloryzacja</w:t>
            </w:r>
          </w:p>
        </w:tc>
      </w:tr>
      <w:tr w:rsidR="00285732" w:rsidRPr="00E62D76" w14:paraId="62427E58" w14:textId="77777777" w:rsidTr="002F56F6">
        <w:tc>
          <w:tcPr>
            <w:tcW w:w="540" w:type="dxa"/>
            <w:vAlign w:val="center"/>
          </w:tcPr>
          <w:p w14:paraId="5E46AE6F" w14:textId="77777777" w:rsidR="00285732" w:rsidRPr="00E62D76" w:rsidRDefault="00285732" w:rsidP="00285732">
            <w:pPr>
              <w:spacing w:after="124"/>
              <w:contextualSpacing/>
              <w:jc w:val="both"/>
              <w:rPr>
                <w:rFonts w:ascii="Arial" w:eastAsia="Arial" w:hAnsi="Arial" w:cs="Arial"/>
                <w:color w:val="000000"/>
                <w:lang w:eastAsia="pl-PL"/>
              </w:rPr>
            </w:pPr>
            <w:r w:rsidRPr="00E62D76">
              <w:rPr>
                <w:rFonts w:ascii="Arial" w:eastAsia="Arial" w:hAnsi="Arial" w:cs="Arial"/>
                <w:color w:val="000000"/>
                <w:lang w:eastAsia="pl-PL"/>
              </w:rPr>
              <w:t>1.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EBB01" w14:textId="77777777" w:rsidR="00285732" w:rsidRPr="00E62D76" w:rsidRDefault="00285732" w:rsidP="002F56F6">
            <w:pPr>
              <w:spacing w:after="124"/>
              <w:contextualSpacing/>
              <w:rPr>
                <w:rFonts w:ascii="Arial" w:eastAsia="Arial" w:hAnsi="Arial" w:cs="Arial"/>
                <w:color w:val="000000"/>
                <w:lang w:eastAsia="pl-PL"/>
              </w:rPr>
            </w:pPr>
            <w:r w:rsidRPr="00E62D76">
              <w:rPr>
                <w:rFonts w:ascii="Arial" w:eastAsia="Arial" w:hAnsi="Arial" w:cs="Arial"/>
                <w:color w:val="000000"/>
                <w:lang w:eastAsia="pl-PL"/>
              </w:rPr>
              <w:t>Koszty udostępnienia linii kolejowych</w:t>
            </w:r>
          </w:p>
        </w:tc>
        <w:tc>
          <w:tcPr>
            <w:tcW w:w="3302" w:type="dxa"/>
            <w:vAlign w:val="center"/>
          </w:tcPr>
          <w:p w14:paraId="5C78F7AB" w14:textId="22F5BE95" w:rsidR="00285732" w:rsidRPr="00E62D76" w:rsidRDefault="00285732" w:rsidP="002F56F6">
            <w:pPr>
              <w:spacing w:after="124"/>
              <w:contextualSpacing/>
              <w:rPr>
                <w:rFonts w:ascii="Arial" w:eastAsia="Arial" w:hAnsi="Arial" w:cs="Arial"/>
                <w:color w:val="000000"/>
                <w:lang w:eastAsia="pl-PL"/>
              </w:rPr>
            </w:pPr>
            <w:r w:rsidRPr="00E62D76">
              <w:rPr>
                <w:rFonts w:ascii="Arial" w:eastAsia="Arial" w:hAnsi="Arial" w:cs="Arial"/>
                <w:color w:val="000000"/>
                <w:lang w:eastAsia="pl-PL"/>
              </w:rPr>
              <w:t>Koszty dostępu do infrastruktury kolejowej na podstawie umowy z zarządc</w:t>
            </w:r>
            <w:r w:rsidR="004F149D">
              <w:rPr>
                <w:rFonts w:ascii="Arial" w:eastAsia="Arial" w:hAnsi="Arial" w:cs="Arial"/>
                <w:color w:val="000000"/>
                <w:lang w:eastAsia="pl-PL"/>
              </w:rPr>
              <w:t>ą</w:t>
            </w:r>
            <w:r w:rsidRPr="00E62D76">
              <w:rPr>
                <w:rFonts w:ascii="Arial" w:eastAsia="Arial" w:hAnsi="Arial" w:cs="Arial"/>
                <w:color w:val="000000"/>
                <w:lang w:eastAsia="pl-PL"/>
              </w:rPr>
              <w:t xml:space="preserve"> infrastruktury, w tym koszty jazd handlowych, służbowych, manewrowych oraz postoju pojazdów kolejowych na torach zarządcy. </w:t>
            </w:r>
          </w:p>
        </w:tc>
        <w:tc>
          <w:tcPr>
            <w:tcW w:w="2420" w:type="dxa"/>
            <w:vAlign w:val="center"/>
          </w:tcPr>
          <w:p w14:paraId="27C240F3" w14:textId="77777777" w:rsidR="00285732" w:rsidRPr="00E62D76" w:rsidRDefault="00285732" w:rsidP="002F56F6">
            <w:pPr>
              <w:spacing w:after="124"/>
              <w:contextualSpacing/>
              <w:rPr>
                <w:rFonts w:ascii="Arial" w:eastAsia="Arial" w:hAnsi="Arial" w:cs="Arial"/>
                <w:color w:val="000000"/>
                <w:lang w:eastAsia="pl-PL"/>
              </w:rPr>
            </w:pPr>
            <w:r w:rsidRPr="00E62D76">
              <w:rPr>
                <w:rFonts w:ascii="Arial" w:eastAsia="Arial" w:hAnsi="Arial" w:cs="Arial"/>
                <w:color w:val="000000"/>
                <w:lang w:eastAsia="pl-PL"/>
              </w:rPr>
              <w:t>W całości</w:t>
            </w:r>
          </w:p>
        </w:tc>
      </w:tr>
      <w:tr w:rsidR="00285732" w:rsidRPr="00E62D76" w14:paraId="51982CFB" w14:textId="77777777" w:rsidTr="002F56F6">
        <w:tc>
          <w:tcPr>
            <w:tcW w:w="540" w:type="dxa"/>
            <w:vAlign w:val="center"/>
          </w:tcPr>
          <w:p w14:paraId="2BF5EE88" w14:textId="77777777" w:rsidR="00285732" w:rsidRPr="00E62D76" w:rsidRDefault="00285732" w:rsidP="00285732">
            <w:pPr>
              <w:spacing w:after="124"/>
              <w:contextualSpacing/>
              <w:jc w:val="both"/>
              <w:rPr>
                <w:rFonts w:ascii="Arial" w:eastAsia="Arial" w:hAnsi="Arial" w:cs="Arial"/>
                <w:color w:val="000000"/>
                <w:lang w:eastAsia="pl-PL"/>
              </w:rPr>
            </w:pPr>
            <w:r w:rsidRPr="00E62D76">
              <w:rPr>
                <w:rFonts w:ascii="Arial" w:eastAsia="Arial" w:hAnsi="Arial" w:cs="Arial"/>
                <w:color w:val="000000"/>
                <w:lang w:eastAsia="pl-PL"/>
              </w:rPr>
              <w:t>2.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C94DA" w14:textId="77777777" w:rsidR="00285732" w:rsidRPr="00E62D76" w:rsidRDefault="00285732" w:rsidP="002F56F6">
            <w:pPr>
              <w:spacing w:after="124"/>
              <w:contextualSpacing/>
              <w:rPr>
                <w:rFonts w:ascii="Arial" w:eastAsia="Arial" w:hAnsi="Arial" w:cs="Arial"/>
                <w:color w:val="000000"/>
                <w:lang w:eastAsia="pl-PL"/>
              </w:rPr>
            </w:pPr>
            <w:r w:rsidRPr="00E62D76">
              <w:rPr>
                <w:rFonts w:ascii="Arial" w:eastAsia="Arial" w:hAnsi="Arial" w:cs="Arial"/>
                <w:color w:val="000000"/>
                <w:lang w:eastAsia="pl-PL"/>
              </w:rPr>
              <w:t xml:space="preserve">Koszty elektrycznej energii trakcyjnej </w:t>
            </w:r>
          </w:p>
        </w:tc>
        <w:tc>
          <w:tcPr>
            <w:tcW w:w="3302" w:type="dxa"/>
            <w:vAlign w:val="center"/>
          </w:tcPr>
          <w:p w14:paraId="07772094" w14:textId="3107EF81" w:rsidR="00285732" w:rsidRPr="00E62D76" w:rsidRDefault="00285732" w:rsidP="002F56F6">
            <w:pPr>
              <w:spacing w:after="124"/>
              <w:contextualSpacing/>
              <w:rPr>
                <w:rFonts w:ascii="Arial" w:eastAsia="Arial" w:hAnsi="Arial" w:cs="Arial"/>
                <w:color w:val="000000"/>
                <w:lang w:eastAsia="pl-PL"/>
              </w:rPr>
            </w:pPr>
            <w:r w:rsidRPr="00E62D76">
              <w:rPr>
                <w:rFonts w:ascii="Arial" w:eastAsia="Arial" w:hAnsi="Arial" w:cs="Arial"/>
                <w:color w:val="000000"/>
                <w:lang w:eastAsia="pl-PL"/>
              </w:rPr>
              <w:t xml:space="preserve">Koszty dystrybucji i zakupu energii trakcyjnej rozliczane na </w:t>
            </w:r>
            <w:r w:rsidRPr="00E62D76">
              <w:rPr>
                <w:rFonts w:ascii="Arial" w:eastAsia="Arial" w:hAnsi="Arial" w:cs="Arial"/>
                <w:color w:val="000000"/>
                <w:lang w:eastAsia="pl-PL"/>
              </w:rPr>
              <w:lastRenderedPageBreak/>
              <w:t>podstawie zawart</w:t>
            </w:r>
            <w:r w:rsidR="00047501">
              <w:rPr>
                <w:rFonts w:ascii="Arial" w:eastAsia="Arial" w:hAnsi="Arial" w:cs="Arial"/>
                <w:color w:val="000000"/>
                <w:lang w:eastAsia="pl-PL"/>
              </w:rPr>
              <w:t>ych</w:t>
            </w:r>
            <w:r w:rsidRPr="00E62D76">
              <w:rPr>
                <w:rFonts w:ascii="Arial" w:eastAsia="Arial" w:hAnsi="Arial" w:cs="Arial"/>
                <w:color w:val="000000"/>
                <w:lang w:eastAsia="pl-PL"/>
              </w:rPr>
              <w:t xml:space="preserve"> um</w:t>
            </w:r>
            <w:r w:rsidR="00047501">
              <w:rPr>
                <w:rFonts w:ascii="Arial" w:eastAsia="Arial" w:hAnsi="Arial" w:cs="Arial"/>
                <w:color w:val="000000"/>
                <w:lang w:eastAsia="pl-PL"/>
              </w:rPr>
              <w:t>ów</w:t>
            </w:r>
            <w:r w:rsidRPr="00E62D76">
              <w:rPr>
                <w:rFonts w:ascii="Arial" w:eastAsia="Arial" w:hAnsi="Arial" w:cs="Arial"/>
                <w:color w:val="000000"/>
                <w:lang w:eastAsia="pl-PL"/>
              </w:rPr>
              <w:t xml:space="preserve"> z dostawcami tych usług.</w:t>
            </w:r>
          </w:p>
        </w:tc>
        <w:tc>
          <w:tcPr>
            <w:tcW w:w="2420" w:type="dxa"/>
            <w:vAlign w:val="center"/>
          </w:tcPr>
          <w:p w14:paraId="002975C8" w14:textId="77777777" w:rsidR="00285732" w:rsidRPr="00E62D76" w:rsidRDefault="00285732" w:rsidP="002F56F6">
            <w:pPr>
              <w:spacing w:after="124"/>
              <w:contextualSpacing/>
              <w:rPr>
                <w:rFonts w:ascii="Arial" w:eastAsia="Arial" w:hAnsi="Arial" w:cs="Arial"/>
                <w:color w:val="000000"/>
                <w:lang w:eastAsia="pl-PL"/>
              </w:rPr>
            </w:pPr>
            <w:r w:rsidRPr="00E62D76">
              <w:rPr>
                <w:rFonts w:ascii="Arial" w:eastAsia="Arial" w:hAnsi="Arial" w:cs="Arial"/>
                <w:color w:val="000000"/>
                <w:lang w:eastAsia="pl-PL"/>
              </w:rPr>
              <w:lastRenderedPageBreak/>
              <w:t>W całości</w:t>
            </w:r>
          </w:p>
        </w:tc>
      </w:tr>
      <w:tr w:rsidR="00285732" w:rsidRPr="00E62D76" w14:paraId="5FEE5699" w14:textId="77777777" w:rsidTr="002F56F6">
        <w:tc>
          <w:tcPr>
            <w:tcW w:w="540" w:type="dxa"/>
            <w:vAlign w:val="center"/>
          </w:tcPr>
          <w:p w14:paraId="56028348" w14:textId="77777777" w:rsidR="00285732" w:rsidRPr="00E62D76" w:rsidRDefault="00285732" w:rsidP="00285732">
            <w:pPr>
              <w:spacing w:after="124"/>
              <w:contextualSpacing/>
              <w:jc w:val="both"/>
              <w:rPr>
                <w:rFonts w:ascii="Arial" w:eastAsia="Arial" w:hAnsi="Arial" w:cs="Arial"/>
                <w:color w:val="000000"/>
                <w:lang w:eastAsia="pl-PL"/>
              </w:rPr>
            </w:pPr>
            <w:r w:rsidRPr="00E62D76">
              <w:rPr>
                <w:rFonts w:ascii="Arial" w:eastAsia="Arial" w:hAnsi="Arial" w:cs="Arial"/>
                <w:color w:val="000000"/>
                <w:lang w:eastAsia="pl-PL"/>
              </w:rPr>
              <w:t>3.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3512D" w14:textId="77777777" w:rsidR="00285732" w:rsidRPr="00E62D76" w:rsidRDefault="00285732" w:rsidP="002F56F6">
            <w:pPr>
              <w:spacing w:after="124"/>
              <w:contextualSpacing/>
              <w:rPr>
                <w:rFonts w:ascii="Arial" w:eastAsia="Arial" w:hAnsi="Arial" w:cs="Arial"/>
                <w:color w:val="000000"/>
                <w:lang w:eastAsia="pl-PL"/>
              </w:rPr>
            </w:pPr>
            <w:r w:rsidRPr="00E62D76">
              <w:rPr>
                <w:rFonts w:ascii="Arial" w:eastAsia="Arial" w:hAnsi="Arial" w:cs="Arial"/>
                <w:color w:val="000000"/>
                <w:lang w:eastAsia="pl-PL"/>
              </w:rPr>
              <w:t>Koszty dostępu do stacji pasażerskich</w:t>
            </w:r>
          </w:p>
        </w:tc>
        <w:tc>
          <w:tcPr>
            <w:tcW w:w="3302" w:type="dxa"/>
            <w:vAlign w:val="center"/>
          </w:tcPr>
          <w:p w14:paraId="17FDF408" w14:textId="77777777" w:rsidR="00285732" w:rsidRPr="00E62D76" w:rsidRDefault="00285732" w:rsidP="002F56F6">
            <w:pPr>
              <w:spacing w:after="124"/>
              <w:contextualSpacing/>
              <w:rPr>
                <w:rFonts w:ascii="Arial" w:eastAsia="Arial" w:hAnsi="Arial" w:cs="Arial"/>
                <w:color w:val="000000"/>
                <w:lang w:eastAsia="pl-PL"/>
              </w:rPr>
            </w:pPr>
            <w:r w:rsidRPr="00E62D76">
              <w:rPr>
                <w:rFonts w:ascii="Arial" w:eastAsia="Arial" w:hAnsi="Arial" w:cs="Arial"/>
                <w:color w:val="000000"/>
                <w:lang w:eastAsia="pl-PL"/>
              </w:rPr>
              <w:t>Opłaty za dostęp do obiektów infrastruktury usługowej – stacji pasażerskich (opłata dworcowa) na podstawie umowy zawartej z operatorem OIU.</w:t>
            </w:r>
          </w:p>
        </w:tc>
        <w:tc>
          <w:tcPr>
            <w:tcW w:w="2420" w:type="dxa"/>
            <w:vAlign w:val="center"/>
          </w:tcPr>
          <w:p w14:paraId="048791BB" w14:textId="77777777" w:rsidR="00285732" w:rsidRPr="00E62D76" w:rsidRDefault="00285732" w:rsidP="002F56F6">
            <w:pPr>
              <w:spacing w:after="124"/>
              <w:contextualSpacing/>
              <w:rPr>
                <w:rFonts w:ascii="Arial" w:eastAsia="Arial" w:hAnsi="Arial" w:cs="Arial"/>
                <w:color w:val="000000"/>
                <w:lang w:eastAsia="pl-PL"/>
              </w:rPr>
            </w:pPr>
            <w:r w:rsidRPr="00E62D76">
              <w:rPr>
                <w:rFonts w:ascii="Arial" w:eastAsia="Arial" w:hAnsi="Arial" w:cs="Arial"/>
                <w:color w:val="000000"/>
                <w:lang w:eastAsia="pl-PL"/>
              </w:rPr>
              <w:t>W całości</w:t>
            </w:r>
          </w:p>
        </w:tc>
      </w:tr>
      <w:tr w:rsidR="00285732" w:rsidRPr="00E62D76" w14:paraId="585ABAF4" w14:textId="77777777" w:rsidTr="00B21DDB">
        <w:tc>
          <w:tcPr>
            <w:tcW w:w="540" w:type="dxa"/>
            <w:vAlign w:val="center"/>
          </w:tcPr>
          <w:p w14:paraId="557D171A" w14:textId="77777777" w:rsidR="00285732" w:rsidRPr="00E62D76" w:rsidRDefault="00285732" w:rsidP="00285732">
            <w:pPr>
              <w:spacing w:after="124"/>
              <w:contextualSpacing/>
              <w:jc w:val="both"/>
              <w:rPr>
                <w:rFonts w:ascii="Arial" w:eastAsia="Arial" w:hAnsi="Arial" w:cs="Arial"/>
                <w:color w:val="000000"/>
                <w:lang w:eastAsia="pl-PL"/>
              </w:rPr>
            </w:pPr>
            <w:r w:rsidRPr="00E62D76">
              <w:rPr>
                <w:rFonts w:ascii="Arial" w:eastAsia="Arial" w:hAnsi="Arial" w:cs="Arial"/>
                <w:color w:val="000000"/>
                <w:lang w:eastAsia="pl-PL"/>
              </w:rPr>
              <w:t>4.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3363" w14:textId="587581BC" w:rsidR="00285732" w:rsidRPr="00E62D76" w:rsidRDefault="00285732" w:rsidP="00BC673B">
            <w:pPr>
              <w:spacing w:after="124"/>
              <w:contextualSpacing/>
              <w:rPr>
                <w:rFonts w:ascii="Arial" w:eastAsia="Arial" w:hAnsi="Arial" w:cs="Arial"/>
                <w:color w:val="000000"/>
                <w:lang w:eastAsia="pl-PL"/>
              </w:rPr>
            </w:pPr>
            <w:r w:rsidRPr="00E62D76">
              <w:rPr>
                <w:rFonts w:ascii="Arial" w:eastAsia="Arial" w:hAnsi="Arial" w:cs="Arial"/>
                <w:color w:val="000000"/>
                <w:lang w:eastAsia="pl-PL"/>
              </w:rPr>
              <w:t>Koszty obsługi trakcyjnej</w:t>
            </w:r>
          </w:p>
        </w:tc>
        <w:tc>
          <w:tcPr>
            <w:tcW w:w="3302" w:type="dxa"/>
            <w:vAlign w:val="center"/>
          </w:tcPr>
          <w:p w14:paraId="127C28DF" w14:textId="0CC0B3CA" w:rsidR="00285732" w:rsidRPr="00E62D76" w:rsidRDefault="00285732" w:rsidP="00B21DDB">
            <w:pPr>
              <w:spacing w:after="124"/>
              <w:contextualSpacing/>
              <w:rPr>
                <w:rFonts w:ascii="Arial" w:eastAsia="Arial" w:hAnsi="Arial" w:cs="Arial"/>
                <w:color w:val="000000"/>
                <w:lang w:eastAsia="pl-PL"/>
              </w:rPr>
            </w:pPr>
            <w:r w:rsidRPr="00E62D76">
              <w:rPr>
                <w:rFonts w:ascii="Arial" w:eastAsia="Arial" w:hAnsi="Arial" w:cs="Arial"/>
                <w:color w:val="000000"/>
                <w:lang w:eastAsia="pl-PL"/>
              </w:rPr>
              <w:t>Z podziałem na koszty obsługi realizowanej przez maszynistów świadczących pracę lub u</w:t>
            </w:r>
            <w:r w:rsidR="00B21DDB" w:rsidRPr="00E62D76">
              <w:rPr>
                <w:rFonts w:ascii="Arial" w:eastAsia="Arial" w:hAnsi="Arial" w:cs="Arial"/>
                <w:color w:val="000000"/>
                <w:lang w:eastAsia="pl-PL"/>
              </w:rPr>
              <w:t>sługi na rzecz Operatora oraz oddzielnie</w:t>
            </w:r>
            <w:r w:rsidRPr="00E62D76">
              <w:rPr>
                <w:rFonts w:ascii="Arial" w:eastAsia="Arial" w:hAnsi="Arial" w:cs="Arial"/>
                <w:color w:val="000000"/>
                <w:lang w:eastAsia="pl-PL"/>
              </w:rPr>
              <w:t xml:space="preserve"> koszty usług trakcyjnych w rozumieniu ustawy o </w:t>
            </w:r>
            <w:r w:rsidR="00B21DDB" w:rsidRPr="00E62D76">
              <w:rPr>
                <w:rFonts w:ascii="Arial" w:eastAsia="Arial" w:hAnsi="Arial" w:cs="Arial"/>
                <w:color w:val="000000"/>
                <w:lang w:eastAsia="pl-PL"/>
              </w:rPr>
              <w:t>TK</w:t>
            </w:r>
            <w:r w:rsidRPr="00E62D76">
              <w:rPr>
                <w:rFonts w:ascii="Arial" w:eastAsia="Arial" w:hAnsi="Arial" w:cs="Arial"/>
                <w:color w:val="000000"/>
                <w:lang w:eastAsia="pl-PL"/>
              </w:rPr>
              <w:t>.</w:t>
            </w:r>
          </w:p>
        </w:tc>
        <w:tc>
          <w:tcPr>
            <w:tcW w:w="2420" w:type="dxa"/>
            <w:vAlign w:val="center"/>
          </w:tcPr>
          <w:p w14:paraId="4038A690" w14:textId="77777777" w:rsidR="00285732" w:rsidRPr="00E62D76" w:rsidRDefault="00285732" w:rsidP="00BC673B">
            <w:pPr>
              <w:spacing w:after="124"/>
              <w:contextualSpacing/>
              <w:rPr>
                <w:rFonts w:ascii="Arial" w:eastAsia="Arial" w:hAnsi="Arial" w:cs="Arial"/>
                <w:color w:val="000000"/>
                <w:lang w:eastAsia="pl-PL"/>
              </w:rPr>
            </w:pPr>
            <w:r w:rsidRPr="00E62D76">
              <w:rPr>
                <w:rFonts w:ascii="Arial" w:eastAsia="Arial" w:hAnsi="Arial" w:cs="Arial"/>
                <w:color w:val="000000"/>
                <w:lang w:eastAsia="pl-PL"/>
              </w:rPr>
              <w:t>Według wskaźnika</w:t>
            </w:r>
          </w:p>
        </w:tc>
      </w:tr>
      <w:tr w:rsidR="00285732" w:rsidRPr="00E62D76" w14:paraId="0EA69A9C" w14:textId="77777777" w:rsidTr="00BC673B">
        <w:tc>
          <w:tcPr>
            <w:tcW w:w="540" w:type="dxa"/>
            <w:vAlign w:val="center"/>
          </w:tcPr>
          <w:p w14:paraId="2BC2F7E9" w14:textId="77777777" w:rsidR="00285732" w:rsidRPr="00E62D76" w:rsidRDefault="00285732" w:rsidP="00285732">
            <w:pPr>
              <w:spacing w:after="124"/>
              <w:contextualSpacing/>
              <w:jc w:val="both"/>
              <w:rPr>
                <w:rFonts w:ascii="Arial" w:eastAsia="Arial" w:hAnsi="Arial" w:cs="Arial"/>
                <w:color w:val="000000"/>
                <w:lang w:eastAsia="pl-PL"/>
              </w:rPr>
            </w:pPr>
            <w:r w:rsidRPr="00E62D76">
              <w:rPr>
                <w:rFonts w:ascii="Arial" w:eastAsia="Arial" w:hAnsi="Arial" w:cs="Arial"/>
                <w:color w:val="000000"/>
                <w:lang w:eastAsia="pl-PL"/>
              </w:rPr>
              <w:t>5.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D743E" w14:textId="77777777" w:rsidR="00285732" w:rsidRPr="00E62D76" w:rsidRDefault="00285732" w:rsidP="00BC673B">
            <w:pPr>
              <w:spacing w:after="124"/>
              <w:contextualSpacing/>
              <w:rPr>
                <w:rFonts w:ascii="Arial" w:eastAsia="Arial" w:hAnsi="Arial" w:cs="Arial"/>
                <w:color w:val="000000"/>
                <w:lang w:eastAsia="pl-PL"/>
              </w:rPr>
            </w:pPr>
            <w:r w:rsidRPr="00E62D76">
              <w:rPr>
                <w:rFonts w:ascii="Arial" w:eastAsia="Arial" w:hAnsi="Arial" w:cs="Arial"/>
                <w:color w:val="000000"/>
                <w:lang w:eastAsia="pl-PL"/>
              </w:rPr>
              <w:t>Koszty obsługi handlowej</w:t>
            </w:r>
          </w:p>
        </w:tc>
        <w:tc>
          <w:tcPr>
            <w:tcW w:w="3302" w:type="dxa"/>
            <w:vAlign w:val="center"/>
          </w:tcPr>
          <w:p w14:paraId="26515D1F" w14:textId="77777777" w:rsidR="00285732" w:rsidRPr="00E62D76" w:rsidRDefault="00285732" w:rsidP="00BC673B">
            <w:pPr>
              <w:spacing w:after="124"/>
              <w:contextualSpacing/>
              <w:rPr>
                <w:rFonts w:ascii="Arial" w:eastAsia="Arial" w:hAnsi="Arial" w:cs="Arial"/>
                <w:color w:val="000000"/>
                <w:lang w:eastAsia="pl-PL"/>
              </w:rPr>
            </w:pPr>
            <w:r w:rsidRPr="00E62D76">
              <w:rPr>
                <w:rFonts w:ascii="Arial" w:eastAsia="Arial" w:hAnsi="Arial" w:cs="Arial"/>
                <w:color w:val="000000"/>
                <w:lang w:eastAsia="pl-PL"/>
              </w:rPr>
              <w:t xml:space="preserve">Koszty osobowe pracowników związanych ze sprzedażą i obsługą handlową, w tym kierowników pociągów, konduktorów, kasjerów, sprzedawców biletów, a także nadzorujących ich pracę kontrolerów i rewizorów.  </w:t>
            </w:r>
          </w:p>
        </w:tc>
        <w:tc>
          <w:tcPr>
            <w:tcW w:w="2420" w:type="dxa"/>
            <w:vAlign w:val="center"/>
          </w:tcPr>
          <w:p w14:paraId="1A6E25A3" w14:textId="77777777" w:rsidR="00285732" w:rsidRPr="00E62D76" w:rsidRDefault="00285732" w:rsidP="00BC673B">
            <w:pPr>
              <w:spacing w:after="124"/>
              <w:contextualSpacing/>
              <w:rPr>
                <w:rFonts w:ascii="Arial" w:eastAsia="Arial" w:hAnsi="Arial" w:cs="Arial"/>
                <w:color w:val="000000"/>
                <w:lang w:eastAsia="pl-PL"/>
              </w:rPr>
            </w:pPr>
            <w:r w:rsidRPr="00E62D76">
              <w:rPr>
                <w:rFonts w:ascii="Arial" w:eastAsia="Arial" w:hAnsi="Arial" w:cs="Arial"/>
                <w:color w:val="000000"/>
                <w:lang w:eastAsia="pl-PL"/>
              </w:rPr>
              <w:t>Według wskaźnika</w:t>
            </w:r>
          </w:p>
        </w:tc>
      </w:tr>
      <w:tr w:rsidR="00285732" w:rsidRPr="00E62D76" w14:paraId="0A5921C7" w14:textId="77777777" w:rsidTr="00BC673B">
        <w:tc>
          <w:tcPr>
            <w:tcW w:w="540" w:type="dxa"/>
            <w:vAlign w:val="center"/>
          </w:tcPr>
          <w:p w14:paraId="28861596" w14:textId="77777777" w:rsidR="00285732" w:rsidRPr="00E62D76" w:rsidRDefault="00285732" w:rsidP="00285732">
            <w:pPr>
              <w:spacing w:after="124"/>
              <w:contextualSpacing/>
              <w:jc w:val="both"/>
              <w:rPr>
                <w:rFonts w:ascii="Arial" w:eastAsia="Arial" w:hAnsi="Arial" w:cs="Arial"/>
                <w:color w:val="000000"/>
                <w:lang w:eastAsia="pl-PL"/>
              </w:rPr>
            </w:pPr>
            <w:r w:rsidRPr="00E62D76">
              <w:rPr>
                <w:rFonts w:ascii="Arial" w:eastAsia="Arial" w:hAnsi="Arial" w:cs="Arial"/>
                <w:color w:val="000000"/>
                <w:lang w:eastAsia="pl-PL"/>
              </w:rPr>
              <w:t>6.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6D6D6" w14:textId="77777777" w:rsidR="00285732" w:rsidRPr="00E62D76" w:rsidRDefault="00285732">
            <w:pPr>
              <w:spacing w:after="124"/>
              <w:contextualSpacing/>
              <w:rPr>
                <w:rFonts w:ascii="Arial" w:eastAsia="Arial" w:hAnsi="Arial" w:cs="Arial"/>
                <w:color w:val="000000"/>
                <w:lang w:eastAsia="pl-PL"/>
              </w:rPr>
            </w:pPr>
            <w:r w:rsidRPr="00E62D76">
              <w:rPr>
                <w:rFonts w:ascii="Arial" w:eastAsia="Arial" w:hAnsi="Arial" w:cs="Arial"/>
                <w:color w:val="000000"/>
                <w:lang w:eastAsia="pl-PL"/>
              </w:rPr>
              <w:t>Koszty taboru</w:t>
            </w:r>
          </w:p>
        </w:tc>
        <w:tc>
          <w:tcPr>
            <w:tcW w:w="3302" w:type="dxa"/>
            <w:vAlign w:val="center"/>
          </w:tcPr>
          <w:p w14:paraId="2A9CA430" w14:textId="319F81E2" w:rsidR="00285732" w:rsidRPr="00E62D76" w:rsidRDefault="00285732" w:rsidP="00BC673B">
            <w:pPr>
              <w:spacing w:after="124"/>
              <w:contextualSpacing/>
              <w:rPr>
                <w:rFonts w:ascii="Arial" w:eastAsia="Arial" w:hAnsi="Arial" w:cs="Arial"/>
                <w:color w:val="000000"/>
                <w:lang w:eastAsia="pl-PL"/>
              </w:rPr>
            </w:pPr>
            <w:r w:rsidRPr="00E62D76">
              <w:rPr>
                <w:rFonts w:ascii="Arial" w:eastAsia="Arial" w:hAnsi="Arial" w:cs="Arial"/>
                <w:color w:val="000000"/>
                <w:lang w:eastAsia="pl-PL"/>
              </w:rPr>
              <w:t>Z rozróżnieniem na koszty taboru własnego oraz koszty taboru udostępnionego przez Organizatora. Z agregacją kosztów dla każdego poziomu utrzymania od P1 do P5, koszty użytych części zamiennych i wykorzystanych materiałów eksploatacyjnych, napraw awaryjnych, prac dodatkowych, leasingu i dzierżawy taboru oraz amortyzacji i ubezpiecze</w:t>
            </w:r>
            <w:r w:rsidR="0041476E" w:rsidRPr="00E62D76">
              <w:rPr>
                <w:rFonts w:ascii="Arial" w:eastAsia="Arial" w:hAnsi="Arial" w:cs="Arial"/>
                <w:color w:val="000000"/>
                <w:lang w:eastAsia="pl-PL"/>
              </w:rPr>
              <w:t xml:space="preserve">nia </w:t>
            </w:r>
            <w:r w:rsidRPr="00E62D76">
              <w:rPr>
                <w:rFonts w:ascii="Arial" w:eastAsia="Arial" w:hAnsi="Arial" w:cs="Arial"/>
                <w:color w:val="000000"/>
                <w:lang w:eastAsia="pl-PL"/>
              </w:rPr>
              <w:t>taboru.</w:t>
            </w:r>
          </w:p>
        </w:tc>
        <w:tc>
          <w:tcPr>
            <w:tcW w:w="2420" w:type="dxa"/>
            <w:vAlign w:val="center"/>
          </w:tcPr>
          <w:p w14:paraId="5653941C" w14:textId="77777777" w:rsidR="00285732" w:rsidRPr="00E62D76" w:rsidRDefault="00285732" w:rsidP="00BC673B">
            <w:pPr>
              <w:spacing w:after="124"/>
              <w:contextualSpacing/>
              <w:rPr>
                <w:rFonts w:ascii="Arial" w:eastAsia="Arial" w:hAnsi="Arial" w:cs="Arial"/>
                <w:color w:val="000000"/>
                <w:lang w:eastAsia="pl-PL"/>
              </w:rPr>
            </w:pPr>
            <w:r w:rsidRPr="00E62D76">
              <w:rPr>
                <w:rFonts w:ascii="Arial" w:eastAsia="Arial" w:hAnsi="Arial" w:cs="Arial"/>
                <w:color w:val="000000"/>
                <w:lang w:eastAsia="pl-PL"/>
              </w:rPr>
              <w:t xml:space="preserve">Według wskaźnika, </w:t>
            </w:r>
          </w:p>
          <w:p w14:paraId="5F65EBBC" w14:textId="00CC96DE" w:rsidR="00285732" w:rsidRPr="00E62D76" w:rsidRDefault="00285732" w:rsidP="00BC673B">
            <w:pPr>
              <w:spacing w:after="124"/>
              <w:contextualSpacing/>
              <w:rPr>
                <w:rFonts w:ascii="Arial" w:eastAsia="Arial" w:hAnsi="Arial" w:cs="Arial"/>
                <w:color w:val="000000"/>
                <w:lang w:eastAsia="pl-PL"/>
              </w:rPr>
            </w:pPr>
            <w:r w:rsidRPr="00E62D76">
              <w:rPr>
                <w:rFonts w:ascii="Arial" w:eastAsia="Arial" w:hAnsi="Arial" w:cs="Arial"/>
                <w:color w:val="000000"/>
                <w:lang w:eastAsia="pl-PL"/>
              </w:rPr>
              <w:t xml:space="preserve">nie dotyczy przeglądów P4 i P5 </w:t>
            </w:r>
            <w:r w:rsidR="001816A0">
              <w:rPr>
                <w:rFonts w:ascii="Arial" w:eastAsia="Arial" w:hAnsi="Arial" w:cs="Arial"/>
                <w:color w:val="000000"/>
                <w:lang w:eastAsia="pl-PL"/>
              </w:rPr>
              <w:t xml:space="preserve">oraz napraw awaryjnych </w:t>
            </w:r>
            <w:r w:rsidRPr="00E62D76">
              <w:rPr>
                <w:rFonts w:ascii="Arial" w:eastAsia="Arial" w:hAnsi="Arial" w:cs="Arial"/>
                <w:color w:val="000000"/>
                <w:lang w:eastAsia="pl-PL"/>
              </w:rPr>
              <w:t>pojazdów udostępnionych przez Organizatora (</w:t>
            </w:r>
            <w:r w:rsidR="005C5A38">
              <w:rPr>
                <w:rFonts w:ascii="Arial" w:eastAsia="Arial" w:hAnsi="Arial" w:cs="Arial"/>
                <w:color w:val="000000"/>
                <w:lang w:eastAsia="pl-PL"/>
              </w:rPr>
              <w:t xml:space="preserve">odrębne </w:t>
            </w:r>
            <w:r w:rsidRPr="00E62D76">
              <w:rPr>
                <w:rFonts w:ascii="Arial" w:eastAsia="Arial" w:hAnsi="Arial" w:cs="Arial"/>
                <w:color w:val="000000"/>
                <w:lang w:eastAsia="pl-PL"/>
              </w:rPr>
              <w:t>rozliczenie kosztów według zasad opisanych w Umowie)</w:t>
            </w:r>
          </w:p>
          <w:p w14:paraId="641164E9" w14:textId="77777777" w:rsidR="00285732" w:rsidRPr="00E62D76" w:rsidRDefault="00285732" w:rsidP="00BC673B">
            <w:pPr>
              <w:spacing w:after="124"/>
              <w:contextualSpacing/>
              <w:rPr>
                <w:rFonts w:ascii="Arial" w:eastAsia="Arial" w:hAnsi="Arial" w:cs="Arial"/>
                <w:color w:val="000000"/>
                <w:lang w:eastAsia="pl-PL"/>
              </w:rPr>
            </w:pPr>
          </w:p>
        </w:tc>
      </w:tr>
      <w:tr w:rsidR="00285732" w:rsidRPr="00E62D76" w14:paraId="11A31834" w14:textId="77777777" w:rsidTr="00BC673B">
        <w:tc>
          <w:tcPr>
            <w:tcW w:w="540" w:type="dxa"/>
            <w:vAlign w:val="center"/>
          </w:tcPr>
          <w:p w14:paraId="18718EAF" w14:textId="77777777" w:rsidR="00285732" w:rsidRPr="00E62D76" w:rsidRDefault="00285732" w:rsidP="00285732">
            <w:pPr>
              <w:spacing w:after="124"/>
              <w:contextualSpacing/>
              <w:jc w:val="both"/>
              <w:rPr>
                <w:rFonts w:ascii="Arial" w:eastAsia="Arial" w:hAnsi="Arial" w:cs="Arial"/>
                <w:color w:val="000000"/>
                <w:lang w:eastAsia="pl-PL"/>
              </w:rPr>
            </w:pPr>
            <w:r w:rsidRPr="00E62D76">
              <w:rPr>
                <w:rFonts w:ascii="Arial" w:eastAsia="Arial" w:hAnsi="Arial" w:cs="Arial"/>
                <w:color w:val="000000"/>
                <w:lang w:eastAsia="pl-PL"/>
              </w:rPr>
              <w:t>7.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B9CAD" w14:textId="77777777" w:rsidR="00285732" w:rsidRPr="00E62D76" w:rsidRDefault="00285732">
            <w:pPr>
              <w:spacing w:after="124"/>
              <w:contextualSpacing/>
              <w:rPr>
                <w:rFonts w:ascii="Arial" w:eastAsia="Arial" w:hAnsi="Arial" w:cs="Arial"/>
                <w:color w:val="000000"/>
                <w:lang w:eastAsia="pl-PL"/>
              </w:rPr>
            </w:pPr>
            <w:r w:rsidRPr="00E62D76">
              <w:rPr>
                <w:rFonts w:ascii="Arial" w:eastAsia="Arial" w:hAnsi="Arial" w:cs="Arial"/>
                <w:color w:val="000000"/>
                <w:lang w:eastAsia="pl-PL"/>
              </w:rPr>
              <w:t>Koszty eksploatacyjne</w:t>
            </w:r>
          </w:p>
        </w:tc>
        <w:tc>
          <w:tcPr>
            <w:tcW w:w="3302" w:type="dxa"/>
            <w:vAlign w:val="center"/>
          </w:tcPr>
          <w:p w14:paraId="3C366F2A" w14:textId="77777777" w:rsidR="00285732" w:rsidRPr="00E62D76" w:rsidRDefault="00285732" w:rsidP="007B7B26">
            <w:pPr>
              <w:spacing w:after="124"/>
              <w:contextualSpacing/>
              <w:rPr>
                <w:rFonts w:ascii="Arial" w:eastAsia="Arial" w:hAnsi="Arial" w:cs="Arial"/>
                <w:color w:val="000000"/>
                <w:lang w:eastAsia="pl-PL"/>
              </w:rPr>
            </w:pPr>
            <w:r w:rsidRPr="00E62D76">
              <w:rPr>
                <w:rFonts w:ascii="Arial" w:eastAsia="Arial" w:hAnsi="Arial" w:cs="Arial"/>
                <w:color w:val="000000"/>
                <w:lang w:eastAsia="pl-PL"/>
              </w:rPr>
              <w:t>Koszty osobowe dla stanowisk związanych z bezpieczeństwem i prowadzeniem ruchu kolejowego innych niż maszynista i kierownik pociągu, pozostałego personelu technicznego, koszty funkcjonowania punktów utrzymania taboru, koszty obrządzania taboru (sprzątanie taboru, obsługa sanitarna), koszty dostępu do obiektów infrastruktury usługowej i świadczonych w nich usług, koszty dyspozytury.</w:t>
            </w:r>
          </w:p>
        </w:tc>
        <w:tc>
          <w:tcPr>
            <w:tcW w:w="2420" w:type="dxa"/>
            <w:vAlign w:val="center"/>
          </w:tcPr>
          <w:p w14:paraId="0F5381B1" w14:textId="77777777" w:rsidR="00285732" w:rsidRPr="00E62D76" w:rsidRDefault="00285732" w:rsidP="007B7B26">
            <w:pPr>
              <w:spacing w:after="124"/>
              <w:contextualSpacing/>
              <w:rPr>
                <w:rFonts w:ascii="Arial" w:eastAsia="Arial" w:hAnsi="Arial" w:cs="Arial"/>
                <w:color w:val="000000"/>
                <w:lang w:eastAsia="pl-PL"/>
              </w:rPr>
            </w:pPr>
            <w:r w:rsidRPr="00E62D76">
              <w:rPr>
                <w:rFonts w:ascii="Arial" w:eastAsia="Arial" w:hAnsi="Arial" w:cs="Arial"/>
                <w:color w:val="000000"/>
                <w:lang w:eastAsia="pl-PL"/>
              </w:rPr>
              <w:t>Według wskaźnika</w:t>
            </w:r>
          </w:p>
        </w:tc>
      </w:tr>
      <w:tr w:rsidR="00285732" w:rsidRPr="00E62D76" w14:paraId="57EB269B" w14:textId="77777777" w:rsidTr="00BC673B">
        <w:tc>
          <w:tcPr>
            <w:tcW w:w="540" w:type="dxa"/>
            <w:vAlign w:val="center"/>
          </w:tcPr>
          <w:p w14:paraId="38E43F82" w14:textId="77777777" w:rsidR="00285732" w:rsidRPr="00E62D76" w:rsidRDefault="00285732" w:rsidP="00285732">
            <w:pPr>
              <w:spacing w:after="124"/>
              <w:contextualSpacing/>
              <w:jc w:val="both"/>
              <w:rPr>
                <w:rFonts w:ascii="Arial" w:eastAsia="Arial" w:hAnsi="Arial" w:cs="Arial"/>
                <w:color w:val="000000"/>
                <w:lang w:eastAsia="pl-PL"/>
              </w:rPr>
            </w:pPr>
            <w:r w:rsidRPr="00E62D76">
              <w:rPr>
                <w:rFonts w:ascii="Arial" w:eastAsia="Arial" w:hAnsi="Arial" w:cs="Arial"/>
                <w:color w:val="000000"/>
                <w:lang w:eastAsia="pl-PL"/>
              </w:rPr>
              <w:lastRenderedPageBreak/>
              <w:t>8.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5360B" w14:textId="77777777" w:rsidR="00285732" w:rsidRPr="00E62D76" w:rsidRDefault="00285732" w:rsidP="002F56F6">
            <w:pPr>
              <w:spacing w:after="124"/>
              <w:contextualSpacing/>
              <w:rPr>
                <w:rFonts w:ascii="Arial" w:eastAsia="Arial" w:hAnsi="Arial" w:cs="Arial"/>
                <w:color w:val="000000"/>
                <w:lang w:eastAsia="pl-PL"/>
              </w:rPr>
            </w:pPr>
            <w:r w:rsidRPr="00E62D76">
              <w:rPr>
                <w:rFonts w:ascii="Arial" w:eastAsia="Arial" w:hAnsi="Arial" w:cs="Arial"/>
                <w:color w:val="000000"/>
                <w:lang w:eastAsia="pl-PL"/>
              </w:rPr>
              <w:t>Koszty kolejowej komunikacji zastępczej</w:t>
            </w:r>
          </w:p>
        </w:tc>
        <w:tc>
          <w:tcPr>
            <w:tcW w:w="3302" w:type="dxa"/>
            <w:vAlign w:val="center"/>
          </w:tcPr>
          <w:p w14:paraId="70D71956" w14:textId="55CC94CE" w:rsidR="00285732" w:rsidRPr="00E62D76" w:rsidRDefault="00285732" w:rsidP="007F77DC">
            <w:pPr>
              <w:spacing w:after="124"/>
              <w:contextualSpacing/>
              <w:rPr>
                <w:rFonts w:ascii="Arial" w:eastAsia="Arial" w:hAnsi="Arial" w:cs="Arial"/>
                <w:color w:val="000000"/>
                <w:lang w:eastAsia="pl-PL"/>
              </w:rPr>
            </w:pPr>
            <w:r w:rsidRPr="00E62D76">
              <w:rPr>
                <w:rFonts w:ascii="Arial" w:eastAsia="Arial" w:hAnsi="Arial" w:cs="Arial"/>
                <w:color w:val="000000"/>
                <w:lang w:eastAsia="pl-PL"/>
              </w:rPr>
              <w:t xml:space="preserve">Koszt zapewnienia komunikacji </w:t>
            </w:r>
            <w:r w:rsidR="007F77DC">
              <w:rPr>
                <w:rFonts w:ascii="Arial" w:eastAsia="Arial" w:hAnsi="Arial" w:cs="Arial"/>
                <w:color w:val="000000"/>
                <w:lang w:eastAsia="pl-PL"/>
              </w:rPr>
              <w:t xml:space="preserve">zastępczej, z wyjątkiem kosztów, którymi obciążono </w:t>
            </w:r>
            <w:r w:rsidRPr="00E62D76">
              <w:rPr>
                <w:rFonts w:ascii="Arial" w:eastAsia="Arial" w:hAnsi="Arial" w:cs="Arial"/>
                <w:color w:val="000000"/>
                <w:lang w:eastAsia="pl-PL"/>
              </w:rPr>
              <w:t>zarządcę infrastruktury.</w:t>
            </w:r>
          </w:p>
        </w:tc>
        <w:tc>
          <w:tcPr>
            <w:tcW w:w="2420" w:type="dxa"/>
            <w:vAlign w:val="center"/>
          </w:tcPr>
          <w:p w14:paraId="06F3F42D" w14:textId="77777777" w:rsidR="00285732" w:rsidRPr="00E62D76" w:rsidRDefault="00285732" w:rsidP="002F56F6">
            <w:pPr>
              <w:spacing w:after="124"/>
              <w:contextualSpacing/>
              <w:rPr>
                <w:rFonts w:ascii="Arial" w:eastAsia="Arial" w:hAnsi="Arial" w:cs="Arial"/>
                <w:color w:val="000000"/>
                <w:lang w:eastAsia="pl-PL"/>
              </w:rPr>
            </w:pPr>
            <w:r w:rsidRPr="00E62D76">
              <w:rPr>
                <w:rFonts w:ascii="Arial" w:eastAsia="Arial" w:hAnsi="Arial" w:cs="Arial"/>
                <w:color w:val="000000"/>
                <w:lang w:eastAsia="pl-PL"/>
              </w:rPr>
              <w:t>Według wskaźnika</w:t>
            </w:r>
          </w:p>
        </w:tc>
      </w:tr>
      <w:tr w:rsidR="00285732" w:rsidRPr="00E62D76" w14:paraId="16311248" w14:textId="77777777" w:rsidTr="00BC673B">
        <w:tc>
          <w:tcPr>
            <w:tcW w:w="540" w:type="dxa"/>
            <w:vAlign w:val="center"/>
          </w:tcPr>
          <w:p w14:paraId="7334F45A" w14:textId="77777777" w:rsidR="00285732" w:rsidRPr="00E62D76" w:rsidRDefault="00285732" w:rsidP="00285732">
            <w:pPr>
              <w:spacing w:after="124"/>
              <w:contextualSpacing/>
              <w:jc w:val="both"/>
              <w:rPr>
                <w:rFonts w:ascii="Arial" w:eastAsia="Arial" w:hAnsi="Arial" w:cs="Arial"/>
                <w:color w:val="000000"/>
                <w:lang w:eastAsia="pl-PL"/>
              </w:rPr>
            </w:pPr>
            <w:r w:rsidRPr="00E62D76">
              <w:rPr>
                <w:rFonts w:ascii="Arial" w:eastAsia="Arial" w:hAnsi="Arial" w:cs="Arial"/>
                <w:color w:val="000000"/>
                <w:lang w:eastAsia="pl-PL"/>
              </w:rPr>
              <w:t>9.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F1E0D" w14:textId="77777777" w:rsidR="00285732" w:rsidRPr="00E62D76" w:rsidRDefault="00285732" w:rsidP="002F56F6">
            <w:pPr>
              <w:spacing w:after="124"/>
              <w:contextualSpacing/>
              <w:rPr>
                <w:rFonts w:ascii="Arial" w:eastAsia="Arial" w:hAnsi="Arial" w:cs="Arial"/>
                <w:color w:val="000000"/>
                <w:lang w:eastAsia="pl-PL"/>
              </w:rPr>
            </w:pPr>
            <w:r w:rsidRPr="00E62D76">
              <w:rPr>
                <w:rFonts w:ascii="Arial" w:eastAsia="Arial" w:hAnsi="Arial" w:cs="Arial"/>
                <w:color w:val="000000"/>
                <w:lang w:eastAsia="pl-PL"/>
              </w:rPr>
              <w:t xml:space="preserve">Koszty handlowe </w:t>
            </w:r>
          </w:p>
        </w:tc>
        <w:tc>
          <w:tcPr>
            <w:tcW w:w="3302" w:type="dxa"/>
            <w:vAlign w:val="center"/>
          </w:tcPr>
          <w:p w14:paraId="7A80AE36" w14:textId="77777777" w:rsidR="00285732" w:rsidRPr="00E62D76" w:rsidRDefault="00285732" w:rsidP="002F56F6">
            <w:pPr>
              <w:spacing w:after="124"/>
              <w:contextualSpacing/>
              <w:rPr>
                <w:rFonts w:ascii="Arial" w:eastAsia="Arial" w:hAnsi="Arial" w:cs="Arial"/>
                <w:color w:val="000000"/>
                <w:lang w:eastAsia="pl-PL"/>
              </w:rPr>
            </w:pPr>
            <w:r w:rsidRPr="00E62D76">
              <w:rPr>
                <w:rFonts w:ascii="Arial" w:eastAsia="Arial" w:hAnsi="Arial" w:cs="Arial"/>
                <w:color w:val="000000"/>
                <w:lang w:eastAsia="pl-PL"/>
              </w:rPr>
              <w:t>Koszty związane z funkcjonowaniem sieci sprzedaży, koszty utrzymania kas biletowych, prowizje dla pośredników i agentów sprzedaży, budowa i utrzymanie systemów rozliczeniowych i systemów dystrybucji biletów.</w:t>
            </w:r>
          </w:p>
        </w:tc>
        <w:tc>
          <w:tcPr>
            <w:tcW w:w="2420" w:type="dxa"/>
            <w:vAlign w:val="center"/>
          </w:tcPr>
          <w:p w14:paraId="35A8577C" w14:textId="77777777" w:rsidR="00285732" w:rsidRPr="00E62D76" w:rsidRDefault="00285732" w:rsidP="002F56F6">
            <w:pPr>
              <w:spacing w:after="124"/>
              <w:contextualSpacing/>
              <w:rPr>
                <w:rFonts w:ascii="Arial" w:eastAsia="Arial" w:hAnsi="Arial" w:cs="Arial"/>
                <w:color w:val="000000"/>
                <w:lang w:eastAsia="pl-PL"/>
              </w:rPr>
            </w:pPr>
            <w:r w:rsidRPr="00E62D76">
              <w:rPr>
                <w:rFonts w:ascii="Arial" w:eastAsia="Arial" w:hAnsi="Arial" w:cs="Arial"/>
                <w:color w:val="000000"/>
                <w:lang w:eastAsia="pl-PL"/>
              </w:rPr>
              <w:t>Według wskaźnika</w:t>
            </w:r>
          </w:p>
        </w:tc>
      </w:tr>
      <w:tr w:rsidR="00285732" w:rsidRPr="00E62D76" w14:paraId="62527F91" w14:textId="77777777" w:rsidTr="00BC673B">
        <w:tc>
          <w:tcPr>
            <w:tcW w:w="540" w:type="dxa"/>
            <w:vAlign w:val="center"/>
          </w:tcPr>
          <w:p w14:paraId="73970CA6" w14:textId="77777777" w:rsidR="00285732" w:rsidRPr="00E62D76" w:rsidRDefault="00285732" w:rsidP="00285732">
            <w:pPr>
              <w:spacing w:after="124"/>
              <w:contextualSpacing/>
              <w:jc w:val="both"/>
              <w:rPr>
                <w:rFonts w:ascii="Arial" w:eastAsia="Arial" w:hAnsi="Arial" w:cs="Arial"/>
                <w:color w:val="000000"/>
                <w:lang w:eastAsia="pl-PL"/>
              </w:rPr>
            </w:pPr>
            <w:r w:rsidRPr="00E62D76">
              <w:rPr>
                <w:rFonts w:ascii="Arial" w:eastAsia="Arial" w:hAnsi="Arial" w:cs="Arial"/>
                <w:color w:val="000000"/>
                <w:lang w:eastAsia="pl-PL"/>
              </w:rPr>
              <w:t>10.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D3ADD" w14:textId="77777777" w:rsidR="00285732" w:rsidRPr="00E62D76" w:rsidRDefault="00285732" w:rsidP="002F56F6">
            <w:pPr>
              <w:spacing w:after="124"/>
              <w:contextualSpacing/>
              <w:rPr>
                <w:rFonts w:ascii="Arial" w:eastAsia="Arial" w:hAnsi="Arial" w:cs="Arial"/>
                <w:color w:val="000000"/>
                <w:lang w:eastAsia="pl-PL"/>
              </w:rPr>
            </w:pPr>
            <w:r w:rsidRPr="00E62D76">
              <w:rPr>
                <w:rFonts w:ascii="Arial" w:eastAsia="Arial" w:hAnsi="Arial" w:cs="Arial"/>
                <w:color w:val="000000"/>
                <w:lang w:eastAsia="pl-PL"/>
              </w:rPr>
              <w:t>Koszty zarządzania i administracji</w:t>
            </w:r>
          </w:p>
        </w:tc>
        <w:tc>
          <w:tcPr>
            <w:tcW w:w="3302" w:type="dxa"/>
            <w:vAlign w:val="center"/>
          </w:tcPr>
          <w:p w14:paraId="5057DBD1" w14:textId="15E3DDA3" w:rsidR="00285732" w:rsidRPr="00E62D76" w:rsidRDefault="00285732" w:rsidP="002F56F6">
            <w:pPr>
              <w:spacing w:after="124"/>
              <w:contextualSpacing/>
              <w:rPr>
                <w:rFonts w:ascii="Arial" w:eastAsia="Arial" w:hAnsi="Arial" w:cs="Arial"/>
                <w:color w:val="000000"/>
                <w:lang w:eastAsia="pl-PL"/>
              </w:rPr>
            </w:pPr>
            <w:r w:rsidRPr="00E62D76">
              <w:rPr>
                <w:rFonts w:ascii="Arial" w:eastAsia="Arial" w:hAnsi="Arial" w:cs="Arial"/>
                <w:color w:val="000000"/>
                <w:lang w:eastAsia="pl-PL"/>
              </w:rPr>
              <w:t>Koszty funkcjonowania organów spółki, koszty obsługi administracyjnej,</w:t>
            </w:r>
            <w:r w:rsidR="00B55874" w:rsidRPr="00E62D76">
              <w:rPr>
                <w:rFonts w:ascii="Arial" w:eastAsia="Calibri" w:hAnsi="Arial" w:cs="Arial"/>
                <w:sz w:val="20"/>
              </w:rPr>
              <w:t xml:space="preserve"> </w:t>
            </w:r>
            <w:r w:rsidR="0041476E" w:rsidRPr="00E62D76">
              <w:rPr>
                <w:rFonts w:ascii="Arial" w:eastAsia="Arial" w:hAnsi="Arial" w:cs="Arial"/>
                <w:color w:val="000000"/>
                <w:lang w:eastAsia="pl-PL"/>
              </w:rPr>
              <w:t xml:space="preserve">koszty ubezpieczeń (poza ubezpieczeniem </w:t>
            </w:r>
            <w:r w:rsidR="00B55874" w:rsidRPr="00E62D76">
              <w:rPr>
                <w:rFonts w:ascii="Arial" w:eastAsia="Arial" w:hAnsi="Arial" w:cs="Arial"/>
                <w:color w:val="000000"/>
                <w:lang w:eastAsia="pl-PL"/>
              </w:rPr>
              <w:t>taboru),</w:t>
            </w:r>
            <w:r w:rsidRPr="00E62D76">
              <w:rPr>
                <w:rFonts w:ascii="Arial" w:eastAsia="Arial" w:hAnsi="Arial" w:cs="Arial"/>
                <w:color w:val="000000"/>
                <w:lang w:eastAsia="pl-PL"/>
              </w:rPr>
              <w:t xml:space="preserve"> koszty marketingowe.</w:t>
            </w:r>
          </w:p>
        </w:tc>
        <w:tc>
          <w:tcPr>
            <w:tcW w:w="2420" w:type="dxa"/>
            <w:vAlign w:val="center"/>
          </w:tcPr>
          <w:p w14:paraId="5598CF38" w14:textId="77777777" w:rsidR="00285732" w:rsidRPr="00E62D76" w:rsidRDefault="00285732" w:rsidP="002F56F6">
            <w:pPr>
              <w:spacing w:after="124"/>
              <w:contextualSpacing/>
              <w:rPr>
                <w:rFonts w:ascii="Arial" w:eastAsia="Arial" w:hAnsi="Arial" w:cs="Arial"/>
                <w:color w:val="000000"/>
                <w:lang w:eastAsia="pl-PL"/>
              </w:rPr>
            </w:pPr>
            <w:r w:rsidRPr="00E62D76">
              <w:rPr>
                <w:rFonts w:ascii="Arial" w:eastAsia="Arial" w:hAnsi="Arial" w:cs="Arial"/>
                <w:color w:val="000000"/>
                <w:lang w:eastAsia="pl-PL"/>
              </w:rPr>
              <w:t>Według wskaźnika</w:t>
            </w:r>
          </w:p>
        </w:tc>
      </w:tr>
      <w:tr w:rsidR="00285732" w:rsidRPr="00E62D76" w14:paraId="18716F8E" w14:textId="77777777" w:rsidTr="00BC673B">
        <w:tc>
          <w:tcPr>
            <w:tcW w:w="540" w:type="dxa"/>
            <w:vAlign w:val="center"/>
          </w:tcPr>
          <w:p w14:paraId="11F4D0EB" w14:textId="77777777" w:rsidR="00285732" w:rsidRPr="00E62D76" w:rsidRDefault="00285732" w:rsidP="00285732">
            <w:pPr>
              <w:spacing w:after="124"/>
              <w:contextualSpacing/>
              <w:jc w:val="both"/>
              <w:rPr>
                <w:rFonts w:ascii="Arial" w:eastAsia="Arial" w:hAnsi="Arial" w:cs="Arial"/>
                <w:color w:val="000000"/>
                <w:lang w:eastAsia="pl-PL"/>
              </w:rPr>
            </w:pPr>
            <w:r w:rsidRPr="00E62D76">
              <w:rPr>
                <w:rFonts w:ascii="Arial" w:eastAsia="Arial" w:hAnsi="Arial" w:cs="Arial"/>
                <w:color w:val="000000"/>
                <w:lang w:eastAsia="pl-PL"/>
              </w:rPr>
              <w:t>11.</w:t>
            </w:r>
          </w:p>
        </w:tc>
        <w:tc>
          <w:tcPr>
            <w:tcW w:w="2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F88C8" w14:textId="77777777" w:rsidR="00285732" w:rsidRPr="00E62D76" w:rsidRDefault="00285732" w:rsidP="002F56F6">
            <w:pPr>
              <w:spacing w:after="124"/>
              <w:contextualSpacing/>
              <w:rPr>
                <w:rFonts w:ascii="Arial" w:eastAsia="Arial" w:hAnsi="Arial" w:cs="Arial"/>
                <w:color w:val="000000"/>
                <w:lang w:eastAsia="pl-PL"/>
              </w:rPr>
            </w:pPr>
            <w:r w:rsidRPr="00E62D76">
              <w:rPr>
                <w:rFonts w:ascii="Arial" w:eastAsia="Arial" w:hAnsi="Arial" w:cs="Arial"/>
                <w:color w:val="000000"/>
                <w:lang w:eastAsia="pl-PL"/>
              </w:rPr>
              <w:t>Koszty finansowe</w:t>
            </w:r>
          </w:p>
        </w:tc>
        <w:tc>
          <w:tcPr>
            <w:tcW w:w="3302" w:type="dxa"/>
            <w:vAlign w:val="center"/>
          </w:tcPr>
          <w:p w14:paraId="212F5074" w14:textId="77777777" w:rsidR="00285732" w:rsidRPr="00E62D76" w:rsidRDefault="00285732" w:rsidP="002F56F6">
            <w:pPr>
              <w:spacing w:after="124"/>
              <w:contextualSpacing/>
              <w:rPr>
                <w:rFonts w:ascii="Arial" w:eastAsia="Arial" w:hAnsi="Arial" w:cs="Arial"/>
                <w:color w:val="000000"/>
                <w:lang w:eastAsia="pl-PL"/>
              </w:rPr>
            </w:pPr>
            <w:r w:rsidRPr="00E62D76">
              <w:rPr>
                <w:rFonts w:ascii="Arial" w:eastAsia="Arial" w:hAnsi="Arial" w:cs="Arial"/>
                <w:color w:val="000000"/>
                <w:lang w:eastAsia="pl-PL"/>
              </w:rPr>
              <w:t>Koszty odsetek od kredytów, pożyczek, obligacji i innego finansowania dłużnego, koszty obsługi bankowej i finansowej.</w:t>
            </w:r>
          </w:p>
        </w:tc>
        <w:tc>
          <w:tcPr>
            <w:tcW w:w="2420" w:type="dxa"/>
            <w:vAlign w:val="center"/>
          </w:tcPr>
          <w:p w14:paraId="2F2E25EB" w14:textId="77777777" w:rsidR="00285732" w:rsidRPr="00E62D76" w:rsidRDefault="00285732" w:rsidP="002F56F6">
            <w:pPr>
              <w:spacing w:after="124"/>
              <w:contextualSpacing/>
              <w:rPr>
                <w:rFonts w:ascii="Arial" w:eastAsia="Arial" w:hAnsi="Arial" w:cs="Arial"/>
                <w:color w:val="000000"/>
                <w:lang w:eastAsia="pl-PL"/>
              </w:rPr>
            </w:pPr>
            <w:r w:rsidRPr="00E62D76">
              <w:rPr>
                <w:rFonts w:ascii="Arial" w:eastAsia="Arial" w:hAnsi="Arial" w:cs="Arial"/>
                <w:color w:val="000000"/>
                <w:lang w:eastAsia="pl-PL"/>
              </w:rPr>
              <w:t>Według wskaźnika</w:t>
            </w:r>
          </w:p>
        </w:tc>
      </w:tr>
      <w:tr w:rsidR="00285732" w:rsidRPr="00E62D76" w14:paraId="254E154C" w14:textId="77777777" w:rsidTr="00BC673B">
        <w:tc>
          <w:tcPr>
            <w:tcW w:w="540" w:type="dxa"/>
            <w:vAlign w:val="center"/>
          </w:tcPr>
          <w:p w14:paraId="52D1637E" w14:textId="77777777" w:rsidR="00285732" w:rsidRPr="00E62D76" w:rsidRDefault="00285732" w:rsidP="00285732">
            <w:pPr>
              <w:spacing w:after="124"/>
              <w:contextualSpacing/>
              <w:jc w:val="both"/>
              <w:rPr>
                <w:rFonts w:ascii="Arial" w:eastAsia="Arial" w:hAnsi="Arial" w:cs="Arial"/>
                <w:color w:val="000000"/>
                <w:lang w:eastAsia="pl-PL"/>
              </w:rPr>
            </w:pPr>
            <w:r w:rsidRPr="00E62D76">
              <w:rPr>
                <w:rFonts w:ascii="Arial" w:eastAsia="Arial" w:hAnsi="Arial" w:cs="Arial"/>
                <w:color w:val="000000"/>
                <w:lang w:eastAsia="pl-PL"/>
              </w:rPr>
              <w:t xml:space="preserve">12. </w:t>
            </w:r>
          </w:p>
        </w:tc>
        <w:tc>
          <w:tcPr>
            <w:tcW w:w="2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2A87F" w14:textId="77777777" w:rsidR="00285732" w:rsidRPr="00E62D76" w:rsidRDefault="00285732" w:rsidP="002F56F6">
            <w:pPr>
              <w:spacing w:after="124"/>
              <w:contextualSpacing/>
              <w:rPr>
                <w:rFonts w:ascii="Arial" w:eastAsia="Arial" w:hAnsi="Arial" w:cs="Arial"/>
                <w:color w:val="000000"/>
                <w:lang w:eastAsia="pl-PL"/>
              </w:rPr>
            </w:pPr>
            <w:r w:rsidRPr="00E62D76">
              <w:rPr>
                <w:rFonts w:ascii="Arial" w:eastAsia="Arial" w:hAnsi="Arial" w:cs="Arial"/>
                <w:color w:val="000000"/>
                <w:lang w:eastAsia="pl-PL"/>
              </w:rPr>
              <w:t>Pozostałe koszty bezpośrednie</w:t>
            </w:r>
          </w:p>
        </w:tc>
        <w:tc>
          <w:tcPr>
            <w:tcW w:w="3302" w:type="dxa"/>
            <w:vAlign w:val="center"/>
          </w:tcPr>
          <w:p w14:paraId="2366F42B" w14:textId="77777777" w:rsidR="00285732" w:rsidRPr="00E62D76" w:rsidRDefault="00285732" w:rsidP="002F56F6">
            <w:pPr>
              <w:spacing w:after="124"/>
              <w:contextualSpacing/>
              <w:rPr>
                <w:rFonts w:ascii="Arial" w:eastAsia="Arial" w:hAnsi="Arial" w:cs="Arial"/>
                <w:color w:val="000000"/>
                <w:lang w:eastAsia="pl-PL"/>
              </w:rPr>
            </w:pPr>
            <w:r w:rsidRPr="00E62D76">
              <w:rPr>
                <w:rFonts w:ascii="Arial" w:eastAsia="Arial" w:hAnsi="Arial" w:cs="Arial"/>
                <w:color w:val="000000"/>
                <w:lang w:eastAsia="pl-PL"/>
              </w:rPr>
              <w:t>Koszty związane z realizacją Umowy, niezakwalifikowane do pozostałych kategorii, w tym koszty ogólnozakładowe.</w:t>
            </w:r>
          </w:p>
        </w:tc>
        <w:tc>
          <w:tcPr>
            <w:tcW w:w="2420" w:type="dxa"/>
            <w:vAlign w:val="center"/>
          </w:tcPr>
          <w:p w14:paraId="3FB1DBE7" w14:textId="77777777" w:rsidR="00285732" w:rsidRPr="00E62D76" w:rsidRDefault="00285732" w:rsidP="002F56F6">
            <w:pPr>
              <w:spacing w:after="124"/>
              <w:contextualSpacing/>
              <w:rPr>
                <w:rFonts w:ascii="Arial" w:eastAsia="Arial" w:hAnsi="Arial" w:cs="Arial"/>
                <w:color w:val="000000"/>
                <w:lang w:eastAsia="pl-PL"/>
              </w:rPr>
            </w:pPr>
            <w:r w:rsidRPr="00E62D76">
              <w:rPr>
                <w:rFonts w:ascii="Arial" w:eastAsia="Arial" w:hAnsi="Arial" w:cs="Arial"/>
                <w:color w:val="000000"/>
                <w:lang w:eastAsia="pl-PL"/>
              </w:rPr>
              <w:t>Według wskaźnika</w:t>
            </w:r>
          </w:p>
        </w:tc>
      </w:tr>
    </w:tbl>
    <w:p w14:paraId="212F53FC" w14:textId="77777777" w:rsidR="00285732" w:rsidRPr="00E62D76" w:rsidRDefault="00285732" w:rsidP="008659DB">
      <w:pPr>
        <w:numPr>
          <w:ilvl w:val="0"/>
          <w:numId w:val="1"/>
        </w:numPr>
        <w:spacing w:before="120" w:after="120" w:line="240" w:lineRule="auto"/>
        <w:ind w:left="1077" w:right="6"/>
        <w:jc w:val="both"/>
        <w:rPr>
          <w:rFonts w:ascii="Arial" w:eastAsia="Arial" w:hAnsi="Arial" w:cs="Arial"/>
          <w:b/>
          <w:color w:val="000000"/>
          <w:lang w:eastAsia="pl-PL"/>
        </w:rPr>
      </w:pPr>
      <w:r w:rsidRPr="00E62D76">
        <w:rPr>
          <w:rFonts w:ascii="Arial" w:eastAsia="Arial" w:hAnsi="Arial" w:cs="Arial"/>
          <w:b/>
          <w:color w:val="000000"/>
          <w:lang w:eastAsia="pl-PL"/>
        </w:rPr>
        <w:t>Waloryzacja</w:t>
      </w:r>
    </w:p>
    <w:p w14:paraId="2FB5B4BA" w14:textId="6A6EC8B3" w:rsidR="00285732" w:rsidRPr="00E62D76" w:rsidRDefault="00285732" w:rsidP="00D950AF">
      <w:pPr>
        <w:numPr>
          <w:ilvl w:val="1"/>
          <w:numId w:val="1"/>
        </w:numPr>
        <w:spacing w:after="124" w:line="240" w:lineRule="auto"/>
        <w:ind w:left="567" w:right="5"/>
        <w:contextualSpacing/>
        <w:jc w:val="both"/>
        <w:rPr>
          <w:rFonts w:ascii="Arial" w:eastAsia="Arial" w:hAnsi="Arial" w:cs="Arial"/>
          <w:color w:val="000000"/>
          <w:lang w:eastAsia="pl-PL"/>
        </w:rPr>
      </w:pPr>
      <w:r w:rsidRPr="00E62D76">
        <w:rPr>
          <w:rFonts w:ascii="Arial" w:eastAsia="Arial" w:hAnsi="Arial" w:cs="Arial"/>
          <w:color w:val="000000"/>
          <w:lang w:eastAsia="pl-PL"/>
        </w:rPr>
        <w:t>Waloryzację</w:t>
      </w:r>
      <w:r w:rsidR="007F244D" w:rsidRPr="00E62D76">
        <w:rPr>
          <w:rFonts w:ascii="Arial" w:eastAsia="Arial" w:hAnsi="Arial" w:cs="Arial"/>
          <w:color w:val="000000"/>
          <w:lang w:eastAsia="pl-PL"/>
        </w:rPr>
        <w:t xml:space="preserve"> wyrażoną we</w:t>
      </w:r>
      <w:r w:rsidR="006437BB">
        <w:rPr>
          <w:rFonts w:ascii="Arial" w:eastAsia="Arial" w:hAnsi="Arial" w:cs="Arial"/>
          <w:color w:val="000000"/>
          <w:lang w:eastAsia="pl-PL"/>
        </w:rPr>
        <w:t xml:space="preserve">dług stawki </w:t>
      </w:r>
      <w:r w:rsidR="006A6BC6">
        <w:rPr>
          <w:rFonts w:ascii="Arial" w:eastAsia="Arial" w:hAnsi="Arial" w:cs="Arial"/>
          <w:color w:val="000000"/>
          <w:lang w:eastAsia="pl-PL"/>
        </w:rPr>
        <w:t>jednostkowej za pociągokilometr</w:t>
      </w:r>
      <w:r w:rsidR="007F244D" w:rsidRPr="00E62D76">
        <w:rPr>
          <w:rFonts w:ascii="Arial" w:eastAsia="Arial" w:hAnsi="Arial" w:cs="Arial"/>
          <w:color w:val="000000"/>
          <w:lang w:eastAsia="pl-PL"/>
        </w:rPr>
        <w:t xml:space="preserve"> zgodnie ze wskaźnikiem określonym</w:t>
      </w:r>
      <w:r w:rsidRPr="00E62D76">
        <w:rPr>
          <w:rFonts w:ascii="Arial" w:eastAsia="Arial" w:hAnsi="Arial" w:cs="Arial"/>
          <w:color w:val="000000"/>
          <w:lang w:eastAsia="pl-PL"/>
        </w:rPr>
        <w:t xml:space="preserve"> w </w:t>
      </w:r>
      <w:r w:rsidR="007F244D" w:rsidRPr="00E62D76">
        <w:rPr>
          <w:rFonts w:ascii="Arial" w:eastAsia="Arial" w:hAnsi="Arial" w:cs="Arial"/>
          <w:color w:val="000000"/>
          <w:lang w:eastAsia="pl-PL"/>
        </w:rPr>
        <w:t>pkt</w:t>
      </w:r>
      <w:r w:rsidR="007B7B26">
        <w:rPr>
          <w:rFonts w:ascii="Arial" w:eastAsia="Arial" w:hAnsi="Arial" w:cs="Arial"/>
          <w:color w:val="000000"/>
          <w:lang w:eastAsia="pl-PL"/>
        </w:rPr>
        <w:t xml:space="preserve"> 4.3</w:t>
      </w:r>
      <w:r w:rsidR="007F244D" w:rsidRPr="00E62D76">
        <w:rPr>
          <w:rFonts w:ascii="Arial" w:eastAsia="Arial" w:hAnsi="Arial" w:cs="Arial"/>
          <w:color w:val="000000"/>
          <w:lang w:eastAsia="pl-PL"/>
        </w:rPr>
        <w:t xml:space="preserve"> </w:t>
      </w:r>
      <w:r w:rsidRPr="00E62D76">
        <w:rPr>
          <w:rFonts w:ascii="Arial" w:eastAsia="Arial" w:hAnsi="Arial" w:cs="Arial"/>
          <w:color w:val="000000"/>
          <w:lang w:eastAsia="pl-PL"/>
        </w:rPr>
        <w:t>wylicza się</w:t>
      </w:r>
      <w:r w:rsidR="007F244D" w:rsidRPr="00E62D76">
        <w:rPr>
          <w:rFonts w:ascii="Arial" w:eastAsia="Arial" w:hAnsi="Arial" w:cs="Arial"/>
          <w:color w:val="000000"/>
          <w:lang w:eastAsia="pl-PL"/>
        </w:rPr>
        <w:t xml:space="preserve"> osobno</w:t>
      </w:r>
      <w:r w:rsidRPr="00E62D76">
        <w:rPr>
          <w:rFonts w:ascii="Arial" w:eastAsia="Arial" w:hAnsi="Arial" w:cs="Arial"/>
          <w:color w:val="000000"/>
          <w:lang w:eastAsia="pl-PL"/>
        </w:rPr>
        <w:t xml:space="preserve"> dla każdej</w:t>
      </w:r>
      <w:r w:rsidR="007F244D" w:rsidRPr="00E62D76">
        <w:rPr>
          <w:rFonts w:ascii="Arial" w:eastAsia="Arial" w:hAnsi="Arial" w:cs="Arial"/>
          <w:color w:val="000000"/>
          <w:lang w:eastAsia="pl-PL"/>
        </w:rPr>
        <w:t xml:space="preserve"> właściwej</w:t>
      </w:r>
      <w:r w:rsidRPr="00E62D76">
        <w:rPr>
          <w:rFonts w:ascii="Arial" w:eastAsia="Arial" w:hAnsi="Arial" w:cs="Arial"/>
          <w:color w:val="000000"/>
          <w:lang w:eastAsia="pl-PL"/>
        </w:rPr>
        <w:t xml:space="preserve"> kategorii Kosztu Kwalifikowanego </w:t>
      </w:r>
      <w:r w:rsidR="007F244D" w:rsidRPr="00E62D76">
        <w:rPr>
          <w:rFonts w:ascii="Arial" w:eastAsia="Arial" w:hAnsi="Arial" w:cs="Arial"/>
          <w:color w:val="000000"/>
          <w:lang w:eastAsia="pl-PL"/>
        </w:rPr>
        <w:t xml:space="preserve">zgodnie z tabelą zawartą w </w:t>
      </w:r>
      <w:r w:rsidR="006437BB">
        <w:rPr>
          <w:rFonts w:ascii="Arial" w:eastAsia="Arial" w:hAnsi="Arial" w:cs="Arial"/>
          <w:color w:val="000000"/>
          <w:lang w:eastAsia="pl-PL"/>
        </w:rPr>
        <w:t xml:space="preserve">pkt 3.2. </w:t>
      </w:r>
    </w:p>
    <w:p w14:paraId="68E316AA" w14:textId="423F00B8" w:rsidR="00285732" w:rsidRPr="008659DB" w:rsidRDefault="00285732" w:rsidP="00D950AF">
      <w:pPr>
        <w:numPr>
          <w:ilvl w:val="1"/>
          <w:numId w:val="1"/>
        </w:numPr>
        <w:spacing w:after="124" w:line="240" w:lineRule="auto"/>
        <w:ind w:left="567" w:right="5"/>
        <w:contextualSpacing/>
        <w:jc w:val="both"/>
        <w:rPr>
          <w:rFonts w:ascii="Arial" w:eastAsia="Arial" w:hAnsi="Arial" w:cs="Arial"/>
          <w:color w:val="000000"/>
          <w:lang w:eastAsia="pl-PL"/>
        </w:rPr>
      </w:pPr>
      <w:r w:rsidRPr="008659DB">
        <w:rPr>
          <w:rFonts w:ascii="Arial" w:eastAsia="Arial" w:hAnsi="Arial" w:cs="Arial"/>
          <w:color w:val="000000"/>
          <w:lang w:eastAsia="pl-PL"/>
        </w:rPr>
        <w:t>Organizator pokrywa w całości koszty opłat i cen ponoszonych przez Operatora z tytułu udostępniania linii kolejowych, dostępu do stacji pasażerskich oraz dystrybucji i dostawy energ</w:t>
      </w:r>
      <w:r w:rsidR="006437BB" w:rsidRPr="008659DB">
        <w:rPr>
          <w:rFonts w:ascii="Arial" w:eastAsia="Arial" w:hAnsi="Arial" w:cs="Arial"/>
          <w:color w:val="000000"/>
          <w:lang w:eastAsia="pl-PL"/>
        </w:rPr>
        <w:t>ii trakcyjnej (lp. 1-3 tabeli zawartej w pkt 3.2</w:t>
      </w:r>
      <w:r w:rsidRPr="008659DB">
        <w:rPr>
          <w:rFonts w:ascii="Arial" w:eastAsia="Arial" w:hAnsi="Arial" w:cs="Arial"/>
          <w:color w:val="000000"/>
          <w:lang w:eastAsia="pl-PL"/>
        </w:rPr>
        <w:t>). Koszty te nie podlegają waloryzacji według wskaźnika określonego w Umowie  i nie są wliczane do podstawy wyliczenia tego wskaźnika.</w:t>
      </w:r>
    </w:p>
    <w:p w14:paraId="36FD3DF8" w14:textId="6F6504C7" w:rsidR="007C706D" w:rsidRPr="00E62D76" w:rsidRDefault="007C706D" w:rsidP="00D950AF">
      <w:pPr>
        <w:numPr>
          <w:ilvl w:val="1"/>
          <w:numId w:val="1"/>
        </w:numPr>
        <w:spacing w:after="124" w:line="240" w:lineRule="auto"/>
        <w:ind w:left="567" w:right="5"/>
        <w:contextualSpacing/>
        <w:jc w:val="both"/>
        <w:rPr>
          <w:rFonts w:ascii="Arial" w:eastAsia="Arial" w:hAnsi="Arial" w:cs="Arial"/>
          <w:color w:val="000000"/>
          <w:lang w:eastAsia="pl-PL"/>
        </w:rPr>
      </w:pPr>
      <w:r w:rsidRPr="00E62D76">
        <w:rPr>
          <w:rFonts w:ascii="Arial" w:eastAsia="Arial" w:hAnsi="Arial" w:cs="Arial"/>
          <w:color w:val="000000"/>
          <w:lang w:eastAsia="pl-PL"/>
        </w:rPr>
        <w:t>Wskaźnik waloryzacji wylicza się w oparciu o następujący wzór:</w:t>
      </w:r>
    </w:p>
    <w:p w14:paraId="117548BF" w14:textId="77777777" w:rsidR="007C706D" w:rsidRPr="00E62D76" w:rsidRDefault="007C706D" w:rsidP="007C706D">
      <w:pPr>
        <w:spacing w:after="124" w:line="240" w:lineRule="auto"/>
        <w:ind w:left="720" w:right="5"/>
        <w:contextualSpacing/>
        <w:jc w:val="both"/>
        <w:rPr>
          <w:rFonts w:ascii="Arial" w:eastAsia="Arial" w:hAnsi="Arial" w:cs="Arial"/>
          <w:color w:val="000000"/>
          <w:lang w:eastAsia="pl-PL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  <w:tblCaption w:val="Tabiela, w której podano wzór na wyliczenie wskażnika waloryzacji"/>
      </w:tblPr>
      <w:tblGrid>
        <w:gridCol w:w="8292"/>
      </w:tblGrid>
      <w:tr w:rsidR="007C706D" w:rsidRPr="00E62D76" w14:paraId="38E0BBCC" w14:textId="77777777" w:rsidTr="00591549">
        <w:trPr>
          <w:tblHeader/>
        </w:trPr>
        <w:tc>
          <w:tcPr>
            <w:tcW w:w="914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3FE79759" w14:textId="77777777" w:rsidR="007C706D" w:rsidRPr="00E62D76" w:rsidRDefault="007C706D" w:rsidP="00ED3E33">
            <w:pPr>
              <w:spacing w:after="124"/>
              <w:contextualSpacing/>
              <w:jc w:val="both"/>
              <w:rPr>
                <w:rFonts w:ascii="Arial" w:eastAsia="Arial" w:hAnsi="Arial" w:cs="Arial"/>
                <w:color w:val="000000"/>
                <w:lang w:eastAsia="pl-PL"/>
              </w:rPr>
            </w:pPr>
          </w:p>
          <w:p w14:paraId="70550B56" w14:textId="77777777" w:rsidR="007C706D" w:rsidRPr="00E62D76" w:rsidRDefault="007C706D" w:rsidP="007C706D">
            <w:pPr>
              <w:spacing w:after="124"/>
              <w:ind w:left="720" w:right="5"/>
              <w:contextualSpacing/>
              <w:jc w:val="center"/>
              <w:rPr>
                <w:rFonts w:ascii="Arial" w:eastAsia="Arial" w:hAnsi="Arial" w:cs="Arial"/>
                <w:b/>
                <w:color w:val="000000"/>
                <w:sz w:val="28"/>
                <w:szCs w:val="28"/>
                <w:lang w:eastAsia="pl-PL"/>
              </w:rPr>
            </w:pPr>
            <w:r w:rsidRPr="00E62D76">
              <w:rPr>
                <w:rFonts w:ascii="Arial" w:eastAsia="Arial" w:hAnsi="Arial" w:cs="Arial"/>
                <w:b/>
                <w:color w:val="000000"/>
                <w:sz w:val="28"/>
                <w:szCs w:val="28"/>
                <w:lang w:eastAsia="pl-PL"/>
              </w:rPr>
              <w:t>W = 0,5 x WT + 0,5 x WW</w:t>
            </w:r>
          </w:p>
          <w:p w14:paraId="09A0DC9B" w14:textId="4E09F767" w:rsidR="007C706D" w:rsidRPr="00E62D76" w:rsidRDefault="007C706D" w:rsidP="007C706D">
            <w:pPr>
              <w:spacing w:after="124"/>
              <w:ind w:left="720" w:right="5"/>
              <w:contextualSpacing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  <w:r w:rsidRPr="00E62D76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>gdzie:</w:t>
            </w:r>
          </w:p>
          <w:p w14:paraId="7B3BCB3F" w14:textId="77777777" w:rsidR="007C706D" w:rsidRPr="00E62D76" w:rsidRDefault="007C706D" w:rsidP="007C706D">
            <w:pPr>
              <w:spacing w:after="124"/>
              <w:ind w:left="720" w:right="5"/>
              <w:contextualSpacing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  <w:r w:rsidRPr="00E62D76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>WT – wskaźnik wzrostu cen towarów i usług konsumpcyjnych, wyliczany na podstawie komunikatów Prezesa Głównego Urzędu Statystycznego, dla drugiego kwartału roku n w porównaniu do analogicznego kwartału poprzedniego roku (tj. n-1), przy założeniu, że kwartał roku poprzedniego = 100. Wartość WT zaokrągla się do dwóch miejsc po przecinku.</w:t>
            </w:r>
          </w:p>
          <w:p w14:paraId="3FF11EC8" w14:textId="3AFFF665" w:rsidR="007C706D" w:rsidRPr="00E62D76" w:rsidRDefault="007C706D" w:rsidP="007C706D">
            <w:pPr>
              <w:spacing w:after="124"/>
              <w:ind w:left="720" w:right="5"/>
              <w:contextualSpacing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  <w:r w:rsidRPr="00E62D76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>WW – wskaźnik wzrostu przeciętnego miesięcznego wynagrodzenia w sektorze przedsiębiorstw bez wypłaty nagród z zysku, wyliczany na podstawie komunikatów Prezesa Głównego Urzędu Statystycznego, dla drugiego kwartału roku n w porównaniu do analogicznego kwartału poprzedniego roku (tj. n-1), przy założeniu, że kwartał roku poprzed</w:t>
            </w:r>
            <w:r w:rsidR="00600DA5" w:rsidRPr="00E62D76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>niego = 100. Wartość WW</w:t>
            </w:r>
            <w:r w:rsidRPr="00E62D76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 zaokrągla się do dwóch miejsc po przecinku.</w:t>
            </w:r>
          </w:p>
          <w:p w14:paraId="274C658E" w14:textId="77777777" w:rsidR="007C706D" w:rsidRPr="00E62D76" w:rsidRDefault="007C706D" w:rsidP="00ED3E33">
            <w:pPr>
              <w:spacing w:after="124"/>
              <w:contextualSpacing/>
              <w:jc w:val="both"/>
              <w:rPr>
                <w:rFonts w:ascii="Arial" w:eastAsia="Arial" w:hAnsi="Arial" w:cs="Arial"/>
                <w:color w:val="000000"/>
                <w:lang w:eastAsia="pl-PL"/>
              </w:rPr>
            </w:pPr>
          </w:p>
        </w:tc>
      </w:tr>
    </w:tbl>
    <w:p w14:paraId="58950E4E" w14:textId="77777777" w:rsidR="006B2874" w:rsidRDefault="005C5A38" w:rsidP="005C5A38">
      <w:pPr>
        <w:spacing w:after="124" w:line="240" w:lineRule="auto"/>
        <w:ind w:left="720" w:right="5"/>
        <w:contextualSpacing/>
        <w:jc w:val="both"/>
        <w:rPr>
          <w:rFonts w:ascii="Arial" w:eastAsia="Arial" w:hAnsi="Arial" w:cs="Arial"/>
          <w:i/>
          <w:color w:val="000000"/>
          <w:lang w:eastAsia="pl-PL"/>
        </w:rPr>
      </w:pPr>
      <w:r w:rsidRPr="00BC28D6">
        <w:rPr>
          <w:rFonts w:ascii="Arial" w:eastAsia="Arial" w:hAnsi="Arial" w:cs="Arial"/>
          <w:i/>
          <w:color w:val="000000"/>
          <w:lang w:eastAsia="pl-PL"/>
        </w:rPr>
        <w:t>Przykład</w:t>
      </w:r>
      <w:r w:rsidR="0063790F">
        <w:rPr>
          <w:rFonts w:ascii="Arial" w:eastAsia="Arial" w:hAnsi="Arial" w:cs="Arial"/>
          <w:i/>
          <w:color w:val="000000"/>
          <w:lang w:eastAsia="pl-PL"/>
        </w:rPr>
        <w:t xml:space="preserve"> zastosowania waloryzacji dla Okresu Rozliczeniowego obejmującego rozkład jazdy 2027/2028</w:t>
      </w:r>
      <w:r w:rsidRPr="00BC28D6">
        <w:rPr>
          <w:rFonts w:ascii="Arial" w:eastAsia="Arial" w:hAnsi="Arial" w:cs="Arial"/>
          <w:i/>
          <w:color w:val="000000"/>
          <w:lang w:eastAsia="pl-PL"/>
        </w:rPr>
        <w:t>:</w:t>
      </w:r>
    </w:p>
    <w:p w14:paraId="6F19A96E" w14:textId="4C144775" w:rsidR="006F6232" w:rsidRDefault="006B2874" w:rsidP="006F6232">
      <w:pPr>
        <w:pStyle w:val="Akapitzlist"/>
        <w:numPr>
          <w:ilvl w:val="0"/>
          <w:numId w:val="11"/>
        </w:numPr>
        <w:spacing w:after="124" w:line="240" w:lineRule="auto"/>
        <w:ind w:right="5"/>
        <w:jc w:val="both"/>
        <w:rPr>
          <w:rFonts w:ascii="Arial" w:eastAsia="Arial" w:hAnsi="Arial" w:cs="Arial"/>
          <w:i/>
          <w:color w:val="000000"/>
          <w:lang w:eastAsia="pl-PL"/>
        </w:rPr>
      </w:pPr>
      <w:r>
        <w:rPr>
          <w:rFonts w:ascii="Arial" w:eastAsia="Arial" w:hAnsi="Arial" w:cs="Arial"/>
          <w:i/>
          <w:color w:val="000000"/>
          <w:lang w:eastAsia="pl-PL"/>
        </w:rPr>
        <w:t>O</w:t>
      </w:r>
      <w:r w:rsidRPr="006B2874">
        <w:rPr>
          <w:rFonts w:ascii="Arial" w:eastAsia="Arial" w:hAnsi="Arial" w:cs="Arial"/>
          <w:i/>
          <w:color w:val="000000"/>
          <w:lang w:eastAsia="pl-PL"/>
        </w:rPr>
        <w:t>głoszony przez GUS wskaźnik cen</w:t>
      </w:r>
      <w:r>
        <w:rPr>
          <w:rFonts w:ascii="Arial" w:eastAsia="Arial" w:hAnsi="Arial" w:cs="Arial"/>
          <w:i/>
          <w:color w:val="000000"/>
          <w:lang w:eastAsia="pl-PL"/>
        </w:rPr>
        <w:t xml:space="preserve"> </w:t>
      </w:r>
      <w:r w:rsidRPr="006B2874">
        <w:rPr>
          <w:rFonts w:ascii="Arial" w:eastAsia="Arial" w:hAnsi="Arial" w:cs="Arial"/>
          <w:i/>
          <w:color w:val="000000"/>
          <w:lang w:eastAsia="pl-PL"/>
        </w:rPr>
        <w:t>towar</w:t>
      </w:r>
      <w:r>
        <w:rPr>
          <w:rFonts w:ascii="Arial" w:eastAsia="Arial" w:hAnsi="Arial" w:cs="Arial"/>
          <w:i/>
          <w:color w:val="000000"/>
          <w:lang w:eastAsia="pl-PL"/>
        </w:rPr>
        <w:t>ów i usług konsumpcyjnych dla II kwartału 2027</w:t>
      </w:r>
      <w:r w:rsidRPr="006B2874">
        <w:rPr>
          <w:rFonts w:ascii="Arial" w:eastAsia="Arial" w:hAnsi="Arial" w:cs="Arial"/>
          <w:i/>
          <w:color w:val="000000"/>
          <w:lang w:eastAsia="pl-PL"/>
        </w:rPr>
        <w:t xml:space="preserve"> r. w stosunku</w:t>
      </w:r>
      <w:r>
        <w:rPr>
          <w:rFonts w:ascii="Arial" w:eastAsia="Arial" w:hAnsi="Arial" w:cs="Arial"/>
          <w:i/>
          <w:color w:val="000000"/>
          <w:lang w:eastAsia="pl-PL"/>
        </w:rPr>
        <w:t xml:space="preserve"> </w:t>
      </w:r>
      <w:r w:rsidRPr="006B2874">
        <w:rPr>
          <w:rFonts w:ascii="Arial" w:eastAsia="Arial" w:hAnsi="Arial" w:cs="Arial"/>
          <w:i/>
          <w:color w:val="000000"/>
          <w:lang w:eastAsia="pl-PL"/>
        </w:rPr>
        <w:t>do</w:t>
      </w:r>
      <w:r>
        <w:rPr>
          <w:rFonts w:ascii="Arial" w:eastAsia="Arial" w:hAnsi="Arial" w:cs="Arial"/>
          <w:i/>
          <w:color w:val="000000"/>
          <w:lang w:eastAsia="pl-PL"/>
        </w:rPr>
        <w:t xml:space="preserve"> II kwartału 2026 r. </w:t>
      </w:r>
      <w:r w:rsidR="006F6232">
        <w:rPr>
          <w:rFonts w:ascii="Arial" w:eastAsia="Arial" w:hAnsi="Arial" w:cs="Arial"/>
          <w:i/>
          <w:color w:val="000000"/>
          <w:lang w:eastAsia="pl-PL"/>
        </w:rPr>
        <w:t>wyniósł 104,0 (stopa wzrostu wyniosła 4%).</w:t>
      </w:r>
    </w:p>
    <w:p w14:paraId="60E2A7D7" w14:textId="647DCE9B" w:rsidR="006F6232" w:rsidRDefault="006F6232" w:rsidP="00D814F0">
      <w:pPr>
        <w:pStyle w:val="Akapitzlist"/>
        <w:numPr>
          <w:ilvl w:val="0"/>
          <w:numId w:val="11"/>
        </w:numPr>
        <w:jc w:val="both"/>
        <w:rPr>
          <w:rFonts w:ascii="Arial" w:eastAsia="Arial" w:hAnsi="Arial" w:cs="Arial"/>
          <w:i/>
          <w:color w:val="000000"/>
          <w:lang w:eastAsia="pl-PL"/>
        </w:rPr>
      </w:pPr>
      <w:r w:rsidRPr="006F6232">
        <w:rPr>
          <w:rFonts w:ascii="Arial" w:eastAsia="Arial" w:hAnsi="Arial" w:cs="Arial"/>
          <w:i/>
          <w:color w:val="000000"/>
          <w:lang w:eastAsia="pl-PL"/>
        </w:rPr>
        <w:t>Ogłoszony przez GUS wskaźnik wzrostu przeciętnego miesięcznego wynagrodzenia w sektorze przedsiębiorstw bez wypłaty z nagród z zysku dla II kwartału 2027</w:t>
      </w:r>
      <w:r w:rsidR="006B2874" w:rsidRPr="006F6232">
        <w:rPr>
          <w:rFonts w:ascii="Arial" w:eastAsia="Arial" w:hAnsi="Arial" w:cs="Arial"/>
          <w:i/>
          <w:color w:val="000000"/>
          <w:lang w:eastAsia="pl-PL"/>
        </w:rPr>
        <w:t xml:space="preserve"> r. w stosunku</w:t>
      </w:r>
      <w:r w:rsidRPr="006F6232">
        <w:rPr>
          <w:rFonts w:ascii="Arial" w:eastAsia="Arial" w:hAnsi="Arial" w:cs="Arial"/>
          <w:i/>
          <w:color w:val="000000"/>
          <w:lang w:eastAsia="pl-PL"/>
        </w:rPr>
        <w:t xml:space="preserve"> </w:t>
      </w:r>
      <w:r w:rsidR="006B2874" w:rsidRPr="006F6232">
        <w:rPr>
          <w:rFonts w:ascii="Arial" w:eastAsia="Arial" w:hAnsi="Arial" w:cs="Arial"/>
          <w:i/>
          <w:color w:val="000000"/>
          <w:lang w:eastAsia="pl-PL"/>
        </w:rPr>
        <w:t>do</w:t>
      </w:r>
      <w:r w:rsidRPr="006F6232">
        <w:rPr>
          <w:rFonts w:ascii="Arial" w:eastAsia="Arial" w:hAnsi="Arial" w:cs="Arial"/>
          <w:i/>
          <w:color w:val="000000"/>
          <w:lang w:eastAsia="pl-PL"/>
        </w:rPr>
        <w:t xml:space="preserve"> II kwartału 2026 r. </w:t>
      </w:r>
      <w:r>
        <w:rPr>
          <w:rFonts w:ascii="Arial" w:eastAsia="Arial" w:hAnsi="Arial" w:cs="Arial"/>
          <w:i/>
          <w:color w:val="000000"/>
          <w:lang w:eastAsia="pl-PL"/>
        </w:rPr>
        <w:t>wyniósł 108</w:t>
      </w:r>
      <w:r w:rsidRPr="006F6232">
        <w:rPr>
          <w:rFonts w:ascii="Arial" w:eastAsia="Arial" w:hAnsi="Arial" w:cs="Arial"/>
          <w:i/>
          <w:color w:val="000000"/>
          <w:lang w:eastAsia="pl-PL"/>
        </w:rPr>
        <w:t>,0 (stopa wzrostu w</w:t>
      </w:r>
      <w:r>
        <w:rPr>
          <w:rFonts w:ascii="Arial" w:eastAsia="Arial" w:hAnsi="Arial" w:cs="Arial"/>
          <w:i/>
          <w:color w:val="000000"/>
          <w:lang w:eastAsia="pl-PL"/>
        </w:rPr>
        <w:t>yniosła 8</w:t>
      </w:r>
      <w:r w:rsidRPr="006F6232">
        <w:rPr>
          <w:rFonts w:ascii="Arial" w:eastAsia="Arial" w:hAnsi="Arial" w:cs="Arial"/>
          <w:i/>
          <w:color w:val="000000"/>
          <w:lang w:eastAsia="pl-PL"/>
        </w:rPr>
        <w:t>%).</w:t>
      </w:r>
    </w:p>
    <w:p w14:paraId="496BE9C6" w14:textId="09B95A04" w:rsidR="006F6232" w:rsidRPr="006F6232" w:rsidRDefault="0063790F" w:rsidP="00D814F0">
      <w:pPr>
        <w:pStyle w:val="Akapitzlist"/>
        <w:numPr>
          <w:ilvl w:val="0"/>
          <w:numId w:val="11"/>
        </w:numPr>
        <w:jc w:val="both"/>
        <w:rPr>
          <w:rFonts w:ascii="Arial" w:eastAsia="Arial" w:hAnsi="Arial" w:cs="Arial"/>
          <w:i/>
          <w:color w:val="000000"/>
          <w:lang w:eastAsia="pl-PL"/>
        </w:rPr>
      </w:pPr>
      <w:r w:rsidRPr="006F6232">
        <w:rPr>
          <w:rFonts w:ascii="Arial" w:eastAsia="Arial" w:hAnsi="Arial" w:cs="Arial"/>
          <w:i/>
          <w:color w:val="000000"/>
          <w:lang w:eastAsia="pl-PL"/>
        </w:rPr>
        <w:t>Koszty Kwalifikowane</w:t>
      </w:r>
      <w:r w:rsidR="006F6232" w:rsidRPr="006F6232">
        <w:rPr>
          <w:rFonts w:ascii="Arial" w:eastAsia="Arial" w:hAnsi="Arial" w:cs="Arial"/>
          <w:i/>
          <w:color w:val="000000"/>
          <w:lang w:eastAsia="pl-PL"/>
        </w:rPr>
        <w:t xml:space="preserve"> podlegające waloryzacji według wskaźnika</w:t>
      </w:r>
      <w:r w:rsidR="00283AD4">
        <w:rPr>
          <w:rFonts w:ascii="Arial" w:eastAsia="Arial" w:hAnsi="Arial" w:cs="Arial"/>
          <w:i/>
          <w:color w:val="000000"/>
          <w:lang w:eastAsia="pl-PL"/>
        </w:rPr>
        <w:t xml:space="preserve"> i </w:t>
      </w:r>
      <w:r w:rsidR="006B2874" w:rsidRPr="006F6232">
        <w:rPr>
          <w:rFonts w:ascii="Arial" w:eastAsia="Arial" w:hAnsi="Arial" w:cs="Arial"/>
          <w:i/>
          <w:color w:val="000000"/>
          <w:lang w:eastAsia="pl-PL"/>
        </w:rPr>
        <w:t xml:space="preserve"> przyjęte na Okres Rozliczeniowy obejmujący rozkład </w:t>
      </w:r>
      <w:r w:rsidR="00283AD4">
        <w:rPr>
          <w:rFonts w:ascii="Arial" w:eastAsia="Arial" w:hAnsi="Arial" w:cs="Arial"/>
          <w:i/>
          <w:color w:val="000000"/>
          <w:lang w:eastAsia="pl-PL"/>
        </w:rPr>
        <w:t>jazdy 2026</w:t>
      </w:r>
      <w:r w:rsidR="006B2874" w:rsidRPr="006F6232">
        <w:rPr>
          <w:rFonts w:ascii="Arial" w:eastAsia="Arial" w:hAnsi="Arial" w:cs="Arial"/>
          <w:i/>
          <w:color w:val="000000"/>
          <w:lang w:eastAsia="pl-PL"/>
        </w:rPr>
        <w:t>/20</w:t>
      </w:r>
      <w:r w:rsidR="006F6232" w:rsidRPr="006F6232">
        <w:rPr>
          <w:rFonts w:ascii="Arial" w:eastAsia="Arial" w:hAnsi="Arial" w:cs="Arial"/>
          <w:i/>
          <w:color w:val="000000"/>
          <w:lang w:eastAsia="pl-PL"/>
        </w:rPr>
        <w:t>2</w:t>
      </w:r>
      <w:r w:rsidR="00283AD4">
        <w:rPr>
          <w:rFonts w:ascii="Arial" w:eastAsia="Arial" w:hAnsi="Arial" w:cs="Arial"/>
          <w:i/>
          <w:color w:val="000000"/>
          <w:lang w:eastAsia="pl-PL"/>
        </w:rPr>
        <w:t>7</w:t>
      </w:r>
      <w:r w:rsidR="006F6232">
        <w:rPr>
          <w:rFonts w:ascii="Arial" w:eastAsia="Arial" w:hAnsi="Arial" w:cs="Arial"/>
          <w:i/>
          <w:color w:val="000000"/>
          <w:lang w:eastAsia="pl-PL"/>
        </w:rPr>
        <w:t xml:space="preserve"> wynoszą w ujęciu jednostkowym 30 zł/</w:t>
      </w:r>
      <w:proofErr w:type="spellStart"/>
      <w:r w:rsidR="006F6232">
        <w:rPr>
          <w:rFonts w:ascii="Arial" w:eastAsia="Arial" w:hAnsi="Arial" w:cs="Arial"/>
          <w:i/>
          <w:color w:val="000000"/>
          <w:lang w:eastAsia="pl-PL"/>
        </w:rPr>
        <w:t>pckm</w:t>
      </w:r>
      <w:proofErr w:type="spellEnd"/>
      <w:r w:rsidR="00283AD4">
        <w:rPr>
          <w:rFonts w:ascii="Arial" w:eastAsia="Arial" w:hAnsi="Arial" w:cs="Arial"/>
          <w:i/>
          <w:color w:val="000000"/>
          <w:lang w:eastAsia="pl-PL"/>
        </w:rPr>
        <w:t>.</w:t>
      </w:r>
    </w:p>
    <w:p w14:paraId="0FB0F528" w14:textId="4E4D61AC" w:rsidR="005C5A38" w:rsidRDefault="0063790F" w:rsidP="00D814F0">
      <w:pPr>
        <w:pStyle w:val="Akapitzlist"/>
        <w:numPr>
          <w:ilvl w:val="0"/>
          <w:numId w:val="11"/>
        </w:numPr>
        <w:spacing w:after="124" w:line="240" w:lineRule="auto"/>
        <w:ind w:right="5"/>
        <w:jc w:val="both"/>
        <w:rPr>
          <w:rFonts w:ascii="Arial" w:eastAsia="Arial" w:hAnsi="Arial" w:cs="Arial"/>
          <w:i/>
          <w:color w:val="000000"/>
          <w:lang w:eastAsia="pl-PL"/>
        </w:rPr>
      </w:pPr>
      <w:r w:rsidRPr="006F6232">
        <w:rPr>
          <w:rFonts w:ascii="Arial" w:eastAsia="Arial" w:hAnsi="Arial" w:cs="Arial"/>
          <w:i/>
          <w:color w:val="000000"/>
          <w:lang w:eastAsia="pl-PL"/>
        </w:rPr>
        <w:t>Koszty Kwalifikowane</w:t>
      </w:r>
      <w:r w:rsidR="006F6232">
        <w:rPr>
          <w:rFonts w:ascii="Arial" w:eastAsia="Arial" w:hAnsi="Arial" w:cs="Arial"/>
          <w:i/>
          <w:color w:val="000000"/>
          <w:lang w:eastAsia="pl-PL"/>
        </w:rPr>
        <w:t xml:space="preserve"> podlegające waloryzacji według wskaźnika</w:t>
      </w:r>
      <w:r w:rsidR="006B2874" w:rsidRPr="006F6232">
        <w:rPr>
          <w:rFonts w:ascii="Arial" w:eastAsia="Arial" w:hAnsi="Arial" w:cs="Arial"/>
          <w:i/>
          <w:color w:val="000000"/>
          <w:lang w:eastAsia="pl-PL"/>
        </w:rPr>
        <w:t xml:space="preserve"> przyjęte na Okres Rozliczeniowy obejmujący rozkład jazdy 2027/20</w:t>
      </w:r>
      <w:r w:rsidR="006F6232">
        <w:rPr>
          <w:rFonts w:ascii="Arial" w:eastAsia="Arial" w:hAnsi="Arial" w:cs="Arial"/>
          <w:i/>
          <w:color w:val="000000"/>
          <w:lang w:eastAsia="pl-PL"/>
        </w:rPr>
        <w:t>2</w:t>
      </w:r>
      <w:r w:rsidR="006B2874" w:rsidRPr="006F6232">
        <w:rPr>
          <w:rFonts w:ascii="Arial" w:eastAsia="Arial" w:hAnsi="Arial" w:cs="Arial"/>
          <w:i/>
          <w:color w:val="000000"/>
          <w:lang w:eastAsia="pl-PL"/>
        </w:rPr>
        <w:t>8</w:t>
      </w:r>
      <w:r w:rsidRPr="006F6232">
        <w:rPr>
          <w:rFonts w:ascii="Arial" w:eastAsia="Arial" w:hAnsi="Arial" w:cs="Arial"/>
          <w:i/>
          <w:color w:val="000000"/>
          <w:lang w:eastAsia="pl-PL"/>
        </w:rPr>
        <w:t xml:space="preserve"> </w:t>
      </w:r>
      <w:r w:rsidR="006B2874" w:rsidRPr="006F6232">
        <w:rPr>
          <w:rFonts w:ascii="Arial" w:eastAsia="Arial" w:hAnsi="Arial" w:cs="Arial"/>
          <w:i/>
          <w:color w:val="000000"/>
          <w:lang w:eastAsia="pl-PL"/>
        </w:rPr>
        <w:t>ulegają zwiększeniu o 6 % w stosunku do</w:t>
      </w:r>
      <w:r w:rsidR="006F6232">
        <w:rPr>
          <w:rFonts w:ascii="Arial" w:eastAsia="Arial" w:hAnsi="Arial" w:cs="Arial"/>
          <w:i/>
          <w:color w:val="000000"/>
          <w:lang w:eastAsia="pl-PL"/>
        </w:rPr>
        <w:t xml:space="preserve"> wartości bazowych przyjętych dla Okresu Rozliczeniowego 2026/2027, gdzie W = 0,5</w:t>
      </w:r>
      <w:r w:rsidRPr="006F6232">
        <w:rPr>
          <w:rFonts w:ascii="Arial" w:eastAsia="Arial" w:hAnsi="Arial" w:cs="Arial"/>
          <w:i/>
          <w:color w:val="000000"/>
          <w:lang w:eastAsia="pl-PL"/>
        </w:rPr>
        <w:t xml:space="preserve"> </w:t>
      </w:r>
      <w:r w:rsidR="006F6232">
        <w:rPr>
          <w:rFonts w:ascii="Arial" w:eastAsia="Arial" w:hAnsi="Arial" w:cs="Arial"/>
          <w:i/>
          <w:color w:val="000000"/>
          <w:lang w:eastAsia="pl-PL"/>
        </w:rPr>
        <w:t>x 4 + 0,5 x 8.</w:t>
      </w:r>
    </w:p>
    <w:p w14:paraId="09A8F54E" w14:textId="470154D3" w:rsidR="00283AD4" w:rsidRPr="00283AD4" w:rsidRDefault="00283AD4" w:rsidP="00D814F0">
      <w:pPr>
        <w:pStyle w:val="Akapitzlist"/>
        <w:numPr>
          <w:ilvl w:val="0"/>
          <w:numId w:val="11"/>
        </w:numPr>
        <w:spacing w:after="124" w:line="240" w:lineRule="auto"/>
        <w:ind w:right="5"/>
        <w:jc w:val="both"/>
        <w:rPr>
          <w:rFonts w:ascii="Arial" w:eastAsia="Arial" w:hAnsi="Arial" w:cs="Arial"/>
          <w:i/>
          <w:color w:val="000000"/>
          <w:lang w:eastAsia="pl-PL"/>
        </w:rPr>
      </w:pPr>
      <w:r w:rsidRPr="00283AD4">
        <w:rPr>
          <w:rFonts w:ascii="Arial" w:eastAsia="Arial" w:hAnsi="Arial" w:cs="Arial"/>
          <w:i/>
          <w:color w:val="000000"/>
          <w:lang w:eastAsia="pl-PL"/>
        </w:rPr>
        <w:t>Koszty Kwalifikowane</w:t>
      </w:r>
      <w:r w:rsidR="00D814F0">
        <w:rPr>
          <w:rFonts w:ascii="Arial" w:eastAsia="Arial" w:hAnsi="Arial" w:cs="Arial"/>
          <w:i/>
          <w:color w:val="000000"/>
          <w:lang w:eastAsia="pl-PL"/>
        </w:rPr>
        <w:t>, które zostały</w:t>
      </w:r>
      <w:r>
        <w:rPr>
          <w:rFonts w:ascii="Arial" w:eastAsia="Arial" w:hAnsi="Arial" w:cs="Arial"/>
          <w:i/>
          <w:color w:val="000000"/>
          <w:lang w:eastAsia="pl-PL"/>
        </w:rPr>
        <w:t xml:space="preserve"> zwaloryzowane według wskaźnika</w:t>
      </w:r>
      <w:r w:rsidR="00D814F0">
        <w:rPr>
          <w:rFonts w:ascii="Arial" w:eastAsia="Arial" w:hAnsi="Arial" w:cs="Arial"/>
          <w:i/>
          <w:color w:val="000000"/>
          <w:lang w:eastAsia="pl-PL"/>
        </w:rPr>
        <w:t>,</w:t>
      </w:r>
      <w:r>
        <w:rPr>
          <w:rFonts w:ascii="Arial" w:eastAsia="Arial" w:hAnsi="Arial" w:cs="Arial"/>
          <w:i/>
          <w:color w:val="000000"/>
          <w:lang w:eastAsia="pl-PL"/>
        </w:rPr>
        <w:t xml:space="preserve"> na</w:t>
      </w:r>
      <w:r w:rsidRPr="00283AD4">
        <w:rPr>
          <w:rFonts w:ascii="Arial" w:eastAsia="Arial" w:hAnsi="Arial" w:cs="Arial"/>
          <w:i/>
          <w:color w:val="000000"/>
          <w:lang w:eastAsia="pl-PL"/>
        </w:rPr>
        <w:t xml:space="preserve"> rozkład </w:t>
      </w:r>
      <w:r>
        <w:rPr>
          <w:rFonts w:ascii="Arial" w:eastAsia="Arial" w:hAnsi="Arial" w:cs="Arial"/>
          <w:i/>
          <w:color w:val="000000"/>
          <w:lang w:eastAsia="pl-PL"/>
        </w:rPr>
        <w:t>jazdy 2027</w:t>
      </w:r>
      <w:r w:rsidRPr="00283AD4">
        <w:rPr>
          <w:rFonts w:ascii="Arial" w:eastAsia="Arial" w:hAnsi="Arial" w:cs="Arial"/>
          <w:i/>
          <w:color w:val="000000"/>
          <w:lang w:eastAsia="pl-PL"/>
        </w:rPr>
        <w:t>/202</w:t>
      </w:r>
      <w:r>
        <w:rPr>
          <w:rFonts w:ascii="Arial" w:eastAsia="Arial" w:hAnsi="Arial" w:cs="Arial"/>
          <w:i/>
          <w:color w:val="000000"/>
          <w:lang w:eastAsia="pl-PL"/>
        </w:rPr>
        <w:t>8 wzrosną o 1,80 zł/</w:t>
      </w:r>
      <w:proofErr w:type="spellStart"/>
      <w:r>
        <w:rPr>
          <w:rFonts w:ascii="Arial" w:eastAsia="Arial" w:hAnsi="Arial" w:cs="Arial"/>
          <w:i/>
          <w:color w:val="000000"/>
          <w:lang w:eastAsia="pl-PL"/>
        </w:rPr>
        <w:t>pckm</w:t>
      </w:r>
      <w:proofErr w:type="spellEnd"/>
      <w:r>
        <w:rPr>
          <w:rFonts w:ascii="Arial" w:eastAsia="Arial" w:hAnsi="Arial" w:cs="Arial"/>
          <w:i/>
          <w:color w:val="000000"/>
          <w:lang w:eastAsia="pl-PL"/>
        </w:rPr>
        <w:t xml:space="preserve"> i wyniosą</w:t>
      </w:r>
      <w:r w:rsidRPr="00283AD4">
        <w:rPr>
          <w:rFonts w:ascii="Arial" w:eastAsia="Arial" w:hAnsi="Arial" w:cs="Arial"/>
          <w:i/>
          <w:color w:val="000000"/>
          <w:lang w:eastAsia="pl-PL"/>
        </w:rPr>
        <w:t xml:space="preserve"> w ujęciu </w:t>
      </w:r>
      <w:r>
        <w:rPr>
          <w:rFonts w:ascii="Arial" w:eastAsia="Arial" w:hAnsi="Arial" w:cs="Arial"/>
          <w:i/>
          <w:color w:val="000000"/>
          <w:lang w:eastAsia="pl-PL"/>
        </w:rPr>
        <w:t>jednostkowym 31,80 zł/</w:t>
      </w:r>
      <w:proofErr w:type="spellStart"/>
      <w:r>
        <w:rPr>
          <w:rFonts w:ascii="Arial" w:eastAsia="Arial" w:hAnsi="Arial" w:cs="Arial"/>
          <w:i/>
          <w:color w:val="000000"/>
          <w:lang w:eastAsia="pl-PL"/>
        </w:rPr>
        <w:t>pckm</w:t>
      </w:r>
      <w:proofErr w:type="spellEnd"/>
      <w:r>
        <w:rPr>
          <w:rFonts w:ascii="Arial" w:eastAsia="Arial" w:hAnsi="Arial" w:cs="Arial"/>
          <w:i/>
          <w:color w:val="000000"/>
          <w:lang w:eastAsia="pl-PL"/>
        </w:rPr>
        <w:t>.</w:t>
      </w:r>
    </w:p>
    <w:p w14:paraId="07A5DD96" w14:textId="17E89FB9" w:rsidR="001C5161" w:rsidRPr="00E62D76" w:rsidRDefault="001C5161" w:rsidP="00D950AF">
      <w:pPr>
        <w:numPr>
          <w:ilvl w:val="1"/>
          <w:numId w:val="1"/>
        </w:numPr>
        <w:spacing w:after="124" w:line="240" w:lineRule="auto"/>
        <w:ind w:left="567" w:right="5"/>
        <w:contextualSpacing/>
        <w:jc w:val="both"/>
        <w:rPr>
          <w:rFonts w:ascii="Arial" w:eastAsia="Arial" w:hAnsi="Arial" w:cs="Arial"/>
          <w:b/>
          <w:color w:val="000000"/>
          <w:lang w:eastAsia="pl-PL"/>
        </w:rPr>
      </w:pPr>
      <w:r w:rsidRPr="00E62D76">
        <w:rPr>
          <w:rFonts w:ascii="Arial" w:eastAsia="Arial" w:hAnsi="Arial" w:cs="Arial"/>
          <w:b/>
          <w:color w:val="000000"/>
          <w:lang w:eastAsia="pl-PL"/>
        </w:rPr>
        <w:t xml:space="preserve">Waloryzacja </w:t>
      </w:r>
      <w:r w:rsidR="005C5A38">
        <w:rPr>
          <w:rFonts w:ascii="Arial" w:eastAsia="Arial" w:hAnsi="Arial" w:cs="Arial"/>
          <w:b/>
          <w:color w:val="000000"/>
          <w:lang w:eastAsia="pl-PL"/>
        </w:rPr>
        <w:t>według wskaźnika</w:t>
      </w:r>
    </w:p>
    <w:p w14:paraId="419CECB3" w14:textId="7261CC4E" w:rsidR="00EE4B87" w:rsidRPr="00E62D76" w:rsidRDefault="005C5A38" w:rsidP="00EE4B87">
      <w:pPr>
        <w:spacing w:after="124" w:line="240" w:lineRule="auto"/>
        <w:ind w:left="720" w:right="5"/>
        <w:contextualSpacing/>
        <w:jc w:val="both"/>
        <w:rPr>
          <w:rFonts w:ascii="Arial" w:eastAsia="Arial" w:hAnsi="Arial" w:cs="Arial"/>
          <w:color w:val="000000"/>
          <w:lang w:eastAsia="pl-PL"/>
        </w:rPr>
      </w:pPr>
      <w:r w:rsidRPr="005C5A38">
        <w:rPr>
          <w:rFonts w:ascii="Arial" w:eastAsia="Arial" w:hAnsi="Arial" w:cs="Arial"/>
          <w:color w:val="000000"/>
          <w:lang w:eastAsia="pl-PL"/>
        </w:rPr>
        <w:t xml:space="preserve">Waloryzacja według wskaźnika </w:t>
      </w:r>
      <w:r>
        <w:rPr>
          <w:rFonts w:ascii="Arial" w:eastAsia="Arial" w:hAnsi="Arial" w:cs="Arial"/>
          <w:color w:val="000000"/>
          <w:lang w:eastAsia="pl-PL"/>
        </w:rPr>
        <w:t>przysługuje najwcześniej od</w:t>
      </w:r>
      <w:r w:rsidRPr="005C5A38">
        <w:rPr>
          <w:rFonts w:ascii="Arial" w:eastAsia="Arial" w:hAnsi="Arial" w:cs="Arial"/>
          <w:color w:val="000000"/>
          <w:lang w:eastAsia="pl-PL"/>
        </w:rPr>
        <w:t xml:space="preserve"> Okresu Rozliczeniowego</w:t>
      </w:r>
      <w:r>
        <w:rPr>
          <w:rFonts w:ascii="Arial" w:eastAsia="Arial" w:hAnsi="Arial" w:cs="Arial"/>
          <w:color w:val="000000"/>
          <w:lang w:eastAsia="pl-PL"/>
        </w:rPr>
        <w:t xml:space="preserve"> obejmującego rozkład jazdy 2027/202</w:t>
      </w:r>
      <w:r w:rsidR="006A6BC6">
        <w:rPr>
          <w:rFonts w:ascii="Arial" w:eastAsia="Arial" w:hAnsi="Arial" w:cs="Arial"/>
          <w:color w:val="000000"/>
          <w:lang w:eastAsia="pl-PL"/>
        </w:rPr>
        <w:t xml:space="preserve">8. </w:t>
      </w:r>
      <w:r w:rsidR="00EE4B87" w:rsidRPr="00E62D76">
        <w:rPr>
          <w:rFonts w:ascii="Arial" w:eastAsia="Arial" w:hAnsi="Arial" w:cs="Arial"/>
          <w:color w:val="000000"/>
          <w:lang w:eastAsia="pl-PL"/>
        </w:rPr>
        <w:t xml:space="preserve">Zmiana w zakresie wysokości </w:t>
      </w:r>
      <w:r w:rsidR="0097378B" w:rsidRPr="00E62D76">
        <w:rPr>
          <w:rFonts w:ascii="Arial" w:eastAsia="Arial" w:hAnsi="Arial" w:cs="Arial"/>
          <w:color w:val="000000"/>
          <w:lang w:eastAsia="pl-PL"/>
        </w:rPr>
        <w:t xml:space="preserve">Kosztów Kwalifikowanych </w:t>
      </w:r>
      <w:r w:rsidR="00EE4B87" w:rsidRPr="00E62D76">
        <w:rPr>
          <w:rFonts w:ascii="Arial" w:eastAsia="Arial" w:hAnsi="Arial" w:cs="Arial"/>
          <w:color w:val="000000"/>
          <w:lang w:eastAsia="pl-PL"/>
        </w:rPr>
        <w:t>dotycząca wskaźnika wzrostu cen towar</w:t>
      </w:r>
      <w:r>
        <w:rPr>
          <w:rFonts w:ascii="Arial" w:eastAsia="Arial" w:hAnsi="Arial" w:cs="Arial"/>
          <w:color w:val="000000"/>
          <w:lang w:eastAsia="pl-PL"/>
        </w:rPr>
        <w:t xml:space="preserve">ów i usług konsumpcyjnych oraz </w:t>
      </w:r>
      <w:r w:rsidR="00EE4B87" w:rsidRPr="00E62D76">
        <w:rPr>
          <w:rFonts w:ascii="Arial" w:eastAsia="Arial" w:hAnsi="Arial" w:cs="Arial"/>
          <w:color w:val="000000"/>
          <w:lang w:eastAsia="pl-PL"/>
        </w:rPr>
        <w:t xml:space="preserve">wskaźnika wzrostu przeciętnego miesięcznego wynagrodzenia w sektorze przedsiębiorstw bez wypłaty z nagród z zysku będzie dokonywana na wniosek jednej ze Stron w następujących terminach: </w:t>
      </w:r>
    </w:p>
    <w:p w14:paraId="3C317574" w14:textId="7B8B9E2C" w:rsidR="00EE4B87" w:rsidRPr="00BA279A" w:rsidRDefault="00EE4B87" w:rsidP="00BA279A">
      <w:pPr>
        <w:pStyle w:val="Akapitzlist"/>
        <w:numPr>
          <w:ilvl w:val="0"/>
          <w:numId w:val="7"/>
        </w:numPr>
        <w:spacing w:after="124" w:line="240" w:lineRule="auto"/>
        <w:ind w:right="5"/>
        <w:jc w:val="both"/>
        <w:rPr>
          <w:rFonts w:ascii="Arial" w:eastAsia="Arial" w:hAnsi="Arial" w:cs="Arial"/>
          <w:color w:val="000000"/>
          <w:lang w:eastAsia="pl-PL"/>
        </w:rPr>
      </w:pPr>
      <w:r w:rsidRPr="00BA279A">
        <w:rPr>
          <w:rFonts w:ascii="Arial" w:eastAsia="Arial" w:hAnsi="Arial" w:cs="Arial"/>
          <w:color w:val="000000"/>
          <w:lang w:eastAsia="pl-PL"/>
        </w:rPr>
        <w:t>I Waloryzacja: wniosek o Waloryzację składany do dnia 3</w:t>
      </w:r>
      <w:r w:rsidR="00D9302B" w:rsidRPr="00BA279A">
        <w:rPr>
          <w:rFonts w:ascii="Arial" w:eastAsia="Arial" w:hAnsi="Arial" w:cs="Arial"/>
          <w:color w:val="000000"/>
          <w:lang w:eastAsia="pl-PL"/>
        </w:rPr>
        <w:t>1</w:t>
      </w:r>
      <w:r w:rsidRPr="00BA279A">
        <w:rPr>
          <w:rFonts w:ascii="Arial" w:eastAsia="Arial" w:hAnsi="Arial" w:cs="Arial"/>
          <w:color w:val="000000"/>
          <w:lang w:eastAsia="pl-PL"/>
        </w:rPr>
        <w:t>.0</w:t>
      </w:r>
      <w:r w:rsidR="00BA279A" w:rsidRPr="00BA279A">
        <w:rPr>
          <w:rFonts w:ascii="Arial" w:eastAsia="Arial" w:hAnsi="Arial" w:cs="Arial"/>
          <w:color w:val="000000"/>
          <w:lang w:eastAsia="pl-PL"/>
        </w:rPr>
        <w:t>7.2027 r.</w:t>
      </w:r>
      <w:r w:rsidRPr="00BA279A">
        <w:rPr>
          <w:rFonts w:ascii="Arial" w:eastAsia="Arial" w:hAnsi="Arial" w:cs="Arial"/>
          <w:color w:val="000000"/>
          <w:lang w:eastAsia="pl-PL"/>
        </w:rPr>
        <w:t xml:space="preserve"> </w:t>
      </w:r>
    </w:p>
    <w:p w14:paraId="5073C898" w14:textId="3D1812F2" w:rsidR="00EE4B87" w:rsidRPr="00BA279A" w:rsidRDefault="00BA279A" w:rsidP="00BA279A">
      <w:pPr>
        <w:pStyle w:val="Akapitzlist"/>
        <w:spacing w:after="124" w:line="240" w:lineRule="auto"/>
        <w:ind w:left="2136" w:right="5"/>
        <w:jc w:val="both"/>
        <w:rPr>
          <w:rFonts w:ascii="Arial" w:eastAsia="Arial" w:hAnsi="Arial" w:cs="Arial"/>
          <w:color w:val="000000"/>
          <w:lang w:eastAsia="pl-PL"/>
        </w:rPr>
      </w:pPr>
      <w:r w:rsidRPr="00BA279A">
        <w:rPr>
          <w:rFonts w:ascii="Arial" w:eastAsia="Arial" w:hAnsi="Arial" w:cs="Arial"/>
          <w:color w:val="000000"/>
          <w:lang w:eastAsia="pl-PL"/>
        </w:rPr>
        <w:t>I W</w:t>
      </w:r>
      <w:r w:rsidR="00EE4B87" w:rsidRPr="00BA279A">
        <w:rPr>
          <w:rFonts w:ascii="Arial" w:eastAsia="Arial" w:hAnsi="Arial" w:cs="Arial"/>
          <w:color w:val="000000"/>
          <w:lang w:eastAsia="pl-PL"/>
        </w:rPr>
        <w:t>aloryzacja wejdzie w życie od początku Okresu Rozliczeniowego</w:t>
      </w:r>
      <w:r w:rsidRPr="00BA279A">
        <w:rPr>
          <w:rFonts w:ascii="Arial" w:eastAsia="Arial" w:hAnsi="Arial" w:cs="Arial"/>
          <w:color w:val="000000"/>
          <w:lang w:eastAsia="pl-PL"/>
        </w:rPr>
        <w:t xml:space="preserve"> obejmującego rozkład jazdy 2027/2028</w:t>
      </w:r>
      <w:r w:rsidR="00EE4B87" w:rsidRPr="00BA279A">
        <w:rPr>
          <w:rFonts w:ascii="Arial" w:eastAsia="Arial" w:hAnsi="Arial" w:cs="Arial"/>
          <w:color w:val="000000"/>
          <w:lang w:eastAsia="pl-PL"/>
        </w:rPr>
        <w:t>.</w:t>
      </w:r>
    </w:p>
    <w:p w14:paraId="04E346D0" w14:textId="12EC0C35" w:rsidR="00EE4B87" w:rsidRPr="00BA279A" w:rsidRDefault="00EE4B87" w:rsidP="00BA279A">
      <w:pPr>
        <w:pStyle w:val="Akapitzlist"/>
        <w:numPr>
          <w:ilvl w:val="0"/>
          <w:numId w:val="7"/>
        </w:numPr>
        <w:spacing w:after="124" w:line="240" w:lineRule="auto"/>
        <w:ind w:right="5"/>
        <w:jc w:val="both"/>
        <w:rPr>
          <w:rFonts w:ascii="Arial" w:eastAsia="Arial" w:hAnsi="Arial" w:cs="Arial"/>
          <w:color w:val="000000"/>
          <w:lang w:eastAsia="pl-PL"/>
        </w:rPr>
      </w:pPr>
      <w:r w:rsidRPr="00BA279A">
        <w:rPr>
          <w:rFonts w:ascii="Arial" w:eastAsia="Arial" w:hAnsi="Arial" w:cs="Arial"/>
          <w:color w:val="000000"/>
          <w:lang w:eastAsia="pl-PL"/>
        </w:rPr>
        <w:t>II Waloryzacja: wniosek o Waloryzację składany do dnia 3</w:t>
      </w:r>
      <w:r w:rsidR="00D9302B" w:rsidRPr="00BA279A">
        <w:rPr>
          <w:rFonts w:ascii="Arial" w:eastAsia="Arial" w:hAnsi="Arial" w:cs="Arial"/>
          <w:color w:val="000000"/>
          <w:lang w:eastAsia="pl-PL"/>
        </w:rPr>
        <w:t>1</w:t>
      </w:r>
      <w:r w:rsidRPr="00BA279A">
        <w:rPr>
          <w:rFonts w:ascii="Arial" w:eastAsia="Arial" w:hAnsi="Arial" w:cs="Arial"/>
          <w:color w:val="000000"/>
          <w:lang w:eastAsia="pl-PL"/>
        </w:rPr>
        <w:t xml:space="preserve">.07.2028 r., </w:t>
      </w:r>
    </w:p>
    <w:p w14:paraId="1E205A01" w14:textId="6F9A10C2" w:rsidR="00EE4B87" w:rsidRPr="00BA279A" w:rsidRDefault="00BA279A" w:rsidP="00BA279A">
      <w:pPr>
        <w:pStyle w:val="Akapitzlist"/>
        <w:spacing w:after="124" w:line="240" w:lineRule="auto"/>
        <w:ind w:left="2136" w:right="5"/>
        <w:jc w:val="both"/>
        <w:rPr>
          <w:rFonts w:ascii="Arial" w:eastAsia="Arial" w:hAnsi="Arial" w:cs="Arial"/>
          <w:color w:val="000000"/>
          <w:lang w:eastAsia="pl-PL"/>
        </w:rPr>
      </w:pPr>
      <w:r w:rsidRPr="00BA279A">
        <w:rPr>
          <w:rFonts w:ascii="Arial" w:eastAsia="Arial" w:hAnsi="Arial" w:cs="Arial"/>
          <w:color w:val="000000"/>
          <w:lang w:eastAsia="pl-PL"/>
        </w:rPr>
        <w:t>II W</w:t>
      </w:r>
      <w:r w:rsidR="00EE4B87" w:rsidRPr="00BA279A">
        <w:rPr>
          <w:rFonts w:ascii="Arial" w:eastAsia="Arial" w:hAnsi="Arial" w:cs="Arial"/>
          <w:color w:val="000000"/>
          <w:lang w:eastAsia="pl-PL"/>
        </w:rPr>
        <w:t>aloryzacja wejdzie w życie od początku Okresu Rozliczeniowego</w:t>
      </w:r>
      <w:r w:rsidRPr="00BA279A">
        <w:rPr>
          <w:rFonts w:ascii="Arial" w:eastAsia="Arial" w:hAnsi="Arial" w:cs="Arial"/>
          <w:color w:val="000000"/>
          <w:lang w:eastAsia="pl-PL"/>
        </w:rPr>
        <w:t xml:space="preserve"> obejmującego rozkład jazdy 2028/2029.</w:t>
      </w:r>
    </w:p>
    <w:p w14:paraId="5A2993EE" w14:textId="1CCC6EF8" w:rsidR="00EE4B87" w:rsidRPr="00BA279A" w:rsidRDefault="00EE4B87" w:rsidP="00BA279A">
      <w:pPr>
        <w:pStyle w:val="Akapitzlist"/>
        <w:numPr>
          <w:ilvl w:val="0"/>
          <w:numId w:val="7"/>
        </w:numPr>
        <w:spacing w:after="124" w:line="240" w:lineRule="auto"/>
        <w:ind w:right="5"/>
        <w:jc w:val="both"/>
        <w:rPr>
          <w:rFonts w:ascii="Arial" w:eastAsia="Arial" w:hAnsi="Arial" w:cs="Arial"/>
          <w:color w:val="000000"/>
          <w:lang w:eastAsia="pl-PL"/>
        </w:rPr>
      </w:pPr>
      <w:r w:rsidRPr="00BA279A">
        <w:rPr>
          <w:rFonts w:ascii="Arial" w:eastAsia="Arial" w:hAnsi="Arial" w:cs="Arial"/>
          <w:color w:val="000000"/>
          <w:lang w:eastAsia="pl-PL"/>
        </w:rPr>
        <w:t>III Waloryzacja: wniosek o Waloryzację składany do dnia 3</w:t>
      </w:r>
      <w:r w:rsidR="00D9302B" w:rsidRPr="00BA279A">
        <w:rPr>
          <w:rFonts w:ascii="Arial" w:eastAsia="Arial" w:hAnsi="Arial" w:cs="Arial"/>
          <w:color w:val="000000"/>
          <w:lang w:eastAsia="pl-PL"/>
        </w:rPr>
        <w:t>1</w:t>
      </w:r>
      <w:r w:rsidRPr="00BA279A">
        <w:rPr>
          <w:rFonts w:ascii="Arial" w:eastAsia="Arial" w:hAnsi="Arial" w:cs="Arial"/>
          <w:color w:val="000000"/>
          <w:lang w:eastAsia="pl-PL"/>
        </w:rPr>
        <w:t xml:space="preserve">.07.2029 r., </w:t>
      </w:r>
    </w:p>
    <w:p w14:paraId="081CFAD0" w14:textId="23E8DD8F" w:rsidR="00EE4B87" w:rsidRPr="00BA279A" w:rsidRDefault="00EE4B87" w:rsidP="00BA279A">
      <w:pPr>
        <w:pStyle w:val="Akapitzlist"/>
        <w:spacing w:after="124" w:line="240" w:lineRule="auto"/>
        <w:ind w:left="2136" w:right="5"/>
        <w:jc w:val="both"/>
        <w:rPr>
          <w:rFonts w:ascii="Arial" w:eastAsia="Arial" w:hAnsi="Arial" w:cs="Arial"/>
          <w:color w:val="000000"/>
          <w:lang w:eastAsia="pl-PL"/>
        </w:rPr>
      </w:pPr>
      <w:r w:rsidRPr="00BA279A">
        <w:rPr>
          <w:rFonts w:ascii="Arial" w:eastAsia="Arial" w:hAnsi="Arial" w:cs="Arial"/>
          <w:color w:val="000000"/>
          <w:lang w:eastAsia="pl-PL"/>
        </w:rPr>
        <w:t xml:space="preserve">III waloryzacja wejdzie w życie od początku </w:t>
      </w:r>
      <w:r w:rsidR="00BA279A" w:rsidRPr="00BA279A">
        <w:rPr>
          <w:rFonts w:ascii="Arial" w:eastAsia="Arial" w:hAnsi="Arial" w:cs="Arial"/>
          <w:color w:val="000000"/>
          <w:lang w:eastAsia="pl-PL"/>
        </w:rPr>
        <w:t>Okresu Rozliczeniowego obejmującego rozkład jazdy 2029/2030.</w:t>
      </w:r>
    </w:p>
    <w:p w14:paraId="5ACEBFDF" w14:textId="7B6C01BE" w:rsidR="00EE4B87" w:rsidRPr="00BA279A" w:rsidRDefault="00EE4B87" w:rsidP="00BA279A">
      <w:pPr>
        <w:pStyle w:val="Akapitzlist"/>
        <w:numPr>
          <w:ilvl w:val="0"/>
          <w:numId w:val="7"/>
        </w:numPr>
        <w:spacing w:after="124" w:line="240" w:lineRule="auto"/>
        <w:ind w:right="5"/>
        <w:jc w:val="both"/>
        <w:rPr>
          <w:rFonts w:ascii="Arial" w:eastAsia="Arial" w:hAnsi="Arial" w:cs="Arial"/>
          <w:color w:val="000000"/>
          <w:lang w:eastAsia="pl-PL"/>
        </w:rPr>
      </w:pPr>
      <w:r w:rsidRPr="00BA279A">
        <w:rPr>
          <w:rFonts w:ascii="Arial" w:eastAsia="Arial" w:hAnsi="Arial" w:cs="Arial"/>
          <w:color w:val="000000"/>
          <w:lang w:eastAsia="pl-PL"/>
        </w:rPr>
        <w:t>IV Waloryzacja: wniosek o Waloryzację składany do dnia 3</w:t>
      </w:r>
      <w:r w:rsidR="00D9302B" w:rsidRPr="00BA279A">
        <w:rPr>
          <w:rFonts w:ascii="Arial" w:eastAsia="Arial" w:hAnsi="Arial" w:cs="Arial"/>
          <w:color w:val="000000"/>
          <w:lang w:eastAsia="pl-PL"/>
        </w:rPr>
        <w:t>1</w:t>
      </w:r>
      <w:r w:rsidRPr="00BA279A">
        <w:rPr>
          <w:rFonts w:ascii="Arial" w:eastAsia="Arial" w:hAnsi="Arial" w:cs="Arial"/>
          <w:color w:val="000000"/>
          <w:lang w:eastAsia="pl-PL"/>
        </w:rPr>
        <w:t xml:space="preserve">.07.2030 r., </w:t>
      </w:r>
    </w:p>
    <w:p w14:paraId="48A3C4B3" w14:textId="3DDBB6A8" w:rsidR="00EE4B87" w:rsidRPr="00BA279A" w:rsidRDefault="00BA279A" w:rsidP="00BA279A">
      <w:pPr>
        <w:pStyle w:val="Akapitzlist"/>
        <w:spacing w:after="124" w:line="240" w:lineRule="auto"/>
        <w:ind w:left="2136" w:right="5"/>
        <w:jc w:val="both"/>
        <w:rPr>
          <w:rFonts w:ascii="Arial" w:eastAsia="Arial" w:hAnsi="Arial" w:cs="Arial"/>
          <w:color w:val="000000"/>
          <w:lang w:eastAsia="pl-PL"/>
        </w:rPr>
      </w:pPr>
      <w:r w:rsidRPr="00BA279A">
        <w:rPr>
          <w:rFonts w:ascii="Arial" w:eastAsia="Arial" w:hAnsi="Arial" w:cs="Arial"/>
          <w:color w:val="000000"/>
          <w:lang w:eastAsia="pl-PL"/>
        </w:rPr>
        <w:t>IV W</w:t>
      </w:r>
      <w:r w:rsidR="00EE4B87" w:rsidRPr="00BA279A">
        <w:rPr>
          <w:rFonts w:ascii="Arial" w:eastAsia="Arial" w:hAnsi="Arial" w:cs="Arial"/>
          <w:color w:val="000000"/>
          <w:lang w:eastAsia="pl-PL"/>
        </w:rPr>
        <w:t>aloryzacja wejdzie w życie od początku Okresu Rozliczeniowego</w:t>
      </w:r>
      <w:r w:rsidRPr="00BA279A">
        <w:rPr>
          <w:rFonts w:ascii="Arial" w:eastAsia="Arial" w:hAnsi="Arial" w:cs="Arial"/>
          <w:color w:val="000000"/>
          <w:lang w:eastAsia="pl-PL"/>
        </w:rPr>
        <w:t xml:space="preserve"> obejmującego rozkład jazdy 2030/2031</w:t>
      </w:r>
      <w:r w:rsidR="00EE4B87" w:rsidRPr="00BA279A">
        <w:rPr>
          <w:rFonts w:ascii="Arial" w:eastAsia="Arial" w:hAnsi="Arial" w:cs="Arial"/>
          <w:color w:val="000000"/>
          <w:lang w:eastAsia="pl-PL"/>
        </w:rPr>
        <w:t>.</w:t>
      </w:r>
    </w:p>
    <w:p w14:paraId="244D338D" w14:textId="01B732A0" w:rsidR="00BC28D6" w:rsidRPr="00BC28D6" w:rsidRDefault="00EE4B87" w:rsidP="008659DB">
      <w:pPr>
        <w:pStyle w:val="Akapitzlist"/>
        <w:numPr>
          <w:ilvl w:val="1"/>
          <w:numId w:val="1"/>
        </w:numPr>
        <w:spacing w:after="0" w:line="240" w:lineRule="auto"/>
        <w:ind w:left="567" w:right="6" w:hanging="357"/>
        <w:contextualSpacing w:val="0"/>
        <w:jc w:val="both"/>
        <w:rPr>
          <w:rFonts w:ascii="Arial" w:eastAsia="Arial" w:hAnsi="Arial" w:cs="Arial"/>
          <w:b/>
          <w:color w:val="000000"/>
          <w:lang w:eastAsia="pl-PL"/>
        </w:rPr>
      </w:pPr>
      <w:r w:rsidRPr="00BC28D6">
        <w:rPr>
          <w:rFonts w:ascii="Arial" w:eastAsia="Arial" w:hAnsi="Arial" w:cs="Arial"/>
          <w:b/>
          <w:color w:val="000000"/>
          <w:lang w:eastAsia="pl-PL"/>
        </w:rPr>
        <w:lastRenderedPageBreak/>
        <w:t>Procedura uzgadniania Waloryzacji.</w:t>
      </w:r>
    </w:p>
    <w:p w14:paraId="06CA88F2" w14:textId="6A962F48" w:rsidR="00EE4B87" w:rsidRPr="00E62D76" w:rsidRDefault="00EE4B87" w:rsidP="00EE4B87">
      <w:pPr>
        <w:spacing w:after="124" w:line="240" w:lineRule="auto"/>
        <w:ind w:left="720" w:right="5"/>
        <w:contextualSpacing/>
        <w:jc w:val="both"/>
        <w:rPr>
          <w:rFonts w:ascii="Arial" w:eastAsia="Arial" w:hAnsi="Arial" w:cs="Arial"/>
          <w:color w:val="000000"/>
          <w:lang w:eastAsia="pl-PL"/>
        </w:rPr>
      </w:pPr>
      <w:r w:rsidRPr="00E62D76">
        <w:rPr>
          <w:rFonts w:ascii="Arial" w:eastAsia="Arial" w:hAnsi="Arial" w:cs="Arial"/>
          <w:color w:val="000000"/>
          <w:lang w:eastAsia="pl-PL"/>
        </w:rPr>
        <w:t xml:space="preserve">Strona wnioskująca o Waloryzację powinna przedstawić we wniosku szczegółowe uzasadnienie i wyliczenie parametrów branych pod uwagę przy ocenie zasadności Waloryzacji, a także wyliczyć proponowany </w:t>
      </w:r>
      <w:r w:rsidR="005C5A38">
        <w:rPr>
          <w:rFonts w:ascii="Arial" w:eastAsia="Arial" w:hAnsi="Arial" w:cs="Arial"/>
          <w:color w:val="000000"/>
          <w:lang w:eastAsia="pl-PL"/>
        </w:rPr>
        <w:t>wskaźnik</w:t>
      </w:r>
      <w:r w:rsidRPr="00E62D76">
        <w:rPr>
          <w:rFonts w:ascii="Arial" w:eastAsia="Arial" w:hAnsi="Arial" w:cs="Arial"/>
          <w:color w:val="000000"/>
          <w:lang w:eastAsia="pl-PL"/>
        </w:rPr>
        <w:t xml:space="preserve"> Waloryzacji</w:t>
      </w:r>
      <w:r w:rsidR="005C5A38">
        <w:rPr>
          <w:rFonts w:ascii="Arial" w:eastAsia="Arial" w:hAnsi="Arial" w:cs="Arial"/>
          <w:color w:val="000000"/>
          <w:lang w:eastAsia="pl-PL"/>
        </w:rPr>
        <w:t xml:space="preserve"> na dany Okres Rozliczeniowy</w:t>
      </w:r>
      <w:r w:rsidRPr="00E62D76">
        <w:rPr>
          <w:rFonts w:ascii="Arial" w:eastAsia="Arial" w:hAnsi="Arial" w:cs="Arial"/>
          <w:color w:val="000000"/>
          <w:lang w:eastAsia="pl-PL"/>
        </w:rPr>
        <w:t xml:space="preserve"> wraz z oczekiwanym wpływem jego zastosowania na</w:t>
      </w:r>
      <w:r w:rsidR="00BA279A">
        <w:rPr>
          <w:rFonts w:ascii="Arial" w:eastAsia="Arial" w:hAnsi="Arial" w:cs="Arial"/>
          <w:color w:val="000000"/>
          <w:lang w:eastAsia="pl-PL"/>
        </w:rPr>
        <w:t xml:space="preserve"> poziom poszczególnych kategorii Kosztów Kwalifikowanych, dla których przysługu</w:t>
      </w:r>
      <w:r w:rsidR="00A04EF7">
        <w:rPr>
          <w:rFonts w:ascii="Arial" w:eastAsia="Arial" w:hAnsi="Arial" w:cs="Arial"/>
          <w:color w:val="000000"/>
          <w:lang w:eastAsia="pl-PL"/>
        </w:rPr>
        <w:t>je Waloryzacja według wskaźnika</w:t>
      </w:r>
      <w:r w:rsidRPr="00E62D76">
        <w:rPr>
          <w:rFonts w:ascii="Arial" w:eastAsia="Arial" w:hAnsi="Arial" w:cs="Arial"/>
          <w:color w:val="000000"/>
          <w:lang w:eastAsia="pl-PL"/>
        </w:rPr>
        <w:t xml:space="preserve">. Druga Strona jest uprawniona do zgłoszenia uzasadnionych zastrzeżeń do wniosku o Waloryzację w terminie 10 </w:t>
      </w:r>
      <w:r w:rsidR="005C5A38">
        <w:rPr>
          <w:rFonts w:ascii="Arial" w:eastAsia="Arial" w:hAnsi="Arial" w:cs="Arial"/>
          <w:color w:val="000000"/>
          <w:lang w:eastAsia="pl-PL"/>
        </w:rPr>
        <w:t>dni roboczych</w:t>
      </w:r>
      <w:r w:rsidRPr="00E62D76">
        <w:rPr>
          <w:rFonts w:ascii="Arial" w:eastAsia="Arial" w:hAnsi="Arial" w:cs="Arial"/>
          <w:color w:val="000000"/>
          <w:lang w:eastAsia="pl-PL"/>
        </w:rPr>
        <w:t xml:space="preserve"> od jego doręczenia.</w:t>
      </w:r>
    </w:p>
    <w:p w14:paraId="22F470ED" w14:textId="4DBF99B4" w:rsidR="00EE4B87" w:rsidRPr="008659DB" w:rsidRDefault="00EE4B87" w:rsidP="00EE4B87">
      <w:pPr>
        <w:spacing w:after="124" w:line="240" w:lineRule="auto"/>
        <w:ind w:left="720" w:right="5"/>
        <w:contextualSpacing/>
        <w:jc w:val="both"/>
        <w:rPr>
          <w:rFonts w:ascii="Arial" w:eastAsia="Arial" w:hAnsi="Arial" w:cs="Arial"/>
          <w:color w:val="000000"/>
          <w:lang w:eastAsia="pl-PL"/>
        </w:rPr>
      </w:pPr>
      <w:r w:rsidRPr="00E62D76">
        <w:rPr>
          <w:rFonts w:ascii="Arial" w:eastAsia="Arial" w:hAnsi="Arial" w:cs="Arial"/>
          <w:color w:val="000000"/>
          <w:lang w:eastAsia="pl-PL"/>
        </w:rPr>
        <w:t xml:space="preserve">Waloryzację uważa się za uzgodnioną po wspólnym potwierdzeniu przez Strony podstaw do dokonania Waloryzacji oraz jej zakresu. </w:t>
      </w:r>
      <w:r w:rsidR="005C5A38">
        <w:rPr>
          <w:rFonts w:ascii="Arial" w:eastAsia="Arial" w:hAnsi="Arial" w:cs="Arial"/>
          <w:color w:val="000000"/>
          <w:lang w:eastAsia="pl-PL"/>
        </w:rPr>
        <w:t>Uzgodniony przez Strony wskaźnik waloryzacji</w:t>
      </w:r>
      <w:r w:rsidRPr="00E62D76">
        <w:rPr>
          <w:rFonts w:ascii="Arial" w:eastAsia="Arial" w:hAnsi="Arial" w:cs="Arial"/>
          <w:color w:val="000000"/>
          <w:lang w:eastAsia="pl-PL"/>
        </w:rPr>
        <w:t xml:space="preserve"> </w:t>
      </w:r>
      <w:r w:rsidR="005C5A38">
        <w:rPr>
          <w:rFonts w:ascii="Arial" w:eastAsia="Arial" w:hAnsi="Arial" w:cs="Arial"/>
          <w:color w:val="000000"/>
          <w:lang w:eastAsia="pl-PL"/>
        </w:rPr>
        <w:t xml:space="preserve">podlega uwzględnieniu przy wyliczeniu </w:t>
      </w:r>
      <w:r w:rsidR="005C5A38" w:rsidRPr="008659DB">
        <w:rPr>
          <w:rFonts w:ascii="Arial" w:eastAsia="Arial" w:hAnsi="Arial" w:cs="Arial"/>
          <w:color w:val="000000"/>
          <w:lang w:eastAsia="pl-PL"/>
        </w:rPr>
        <w:t>Rekompensaty Kosztów dla</w:t>
      </w:r>
      <w:r w:rsidRPr="008659DB">
        <w:rPr>
          <w:rFonts w:ascii="Arial" w:eastAsia="Arial" w:hAnsi="Arial" w:cs="Arial"/>
          <w:color w:val="000000"/>
          <w:lang w:eastAsia="pl-PL"/>
        </w:rPr>
        <w:t xml:space="preserve"> Rocznego Planu Finansowego stoso</w:t>
      </w:r>
      <w:r w:rsidR="00BA279A" w:rsidRPr="008659DB">
        <w:rPr>
          <w:rFonts w:ascii="Arial" w:eastAsia="Arial" w:hAnsi="Arial" w:cs="Arial"/>
          <w:color w:val="000000"/>
          <w:lang w:eastAsia="pl-PL"/>
        </w:rPr>
        <w:t>wnie do postanowień § 1</w:t>
      </w:r>
      <w:r w:rsidR="002D5F02" w:rsidRPr="008659DB">
        <w:rPr>
          <w:rFonts w:ascii="Arial" w:eastAsia="Arial" w:hAnsi="Arial" w:cs="Arial"/>
          <w:color w:val="000000"/>
          <w:lang w:eastAsia="pl-PL"/>
        </w:rPr>
        <w:t>3</w:t>
      </w:r>
      <w:r w:rsidR="00BA279A" w:rsidRPr="008659DB">
        <w:rPr>
          <w:rFonts w:ascii="Arial" w:eastAsia="Arial" w:hAnsi="Arial" w:cs="Arial"/>
          <w:color w:val="000000"/>
          <w:lang w:eastAsia="pl-PL"/>
        </w:rPr>
        <w:t xml:space="preserve"> ust. </w:t>
      </w:r>
      <w:r w:rsidR="000C1E11" w:rsidRPr="008659DB">
        <w:rPr>
          <w:rFonts w:ascii="Arial" w:eastAsia="Arial" w:hAnsi="Arial" w:cs="Arial"/>
          <w:color w:val="000000"/>
          <w:lang w:eastAsia="pl-PL"/>
        </w:rPr>
        <w:t xml:space="preserve">8 </w:t>
      </w:r>
      <w:r w:rsidRPr="008659DB">
        <w:rPr>
          <w:rFonts w:ascii="Arial" w:eastAsia="Arial" w:hAnsi="Arial" w:cs="Arial"/>
          <w:color w:val="000000"/>
          <w:lang w:eastAsia="pl-PL"/>
        </w:rPr>
        <w:t xml:space="preserve">Umowy. </w:t>
      </w:r>
    </w:p>
    <w:p w14:paraId="169CF2BE" w14:textId="255E6762" w:rsidR="00EE4B87" w:rsidRPr="00E62D76" w:rsidRDefault="00EE4B87" w:rsidP="00EE4B87">
      <w:pPr>
        <w:spacing w:after="124" w:line="240" w:lineRule="auto"/>
        <w:ind w:left="720" w:right="5"/>
        <w:contextualSpacing/>
        <w:jc w:val="both"/>
        <w:rPr>
          <w:rFonts w:ascii="Arial" w:eastAsia="Arial" w:hAnsi="Arial" w:cs="Arial"/>
          <w:color w:val="000000"/>
          <w:lang w:eastAsia="pl-PL"/>
        </w:rPr>
      </w:pPr>
      <w:r w:rsidRPr="008659DB">
        <w:rPr>
          <w:rFonts w:ascii="Arial" w:eastAsia="Arial" w:hAnsi="Arial" w:cs="Arial"/>
          <w:color w:val="000000"/>
          <w:lang w:eastAsia="pl-PL"/>
        </w:rPr>
        <w:t>W przypadku braku wspólnego potwierdzenia przez Strony istnienia podstaw do</w:t>
      </w:r>
      <w:r w:rsidRPr="00E62D76">
        <w:rPr>
          <w:rFonts w:ascii="Arial" w:eastAsia="Arial" w:hAnsi="Arial" w:cs="Arial"/>
          <w:color w:val="000000"/>
          <w:lang w:eastAsia="pl-PL"/>
        </w:rPr>
        <w:t xml:space="preserve"> Waloryzacji oraz jej zakresu, </w:t>
      </w:r>
      <w:r w:rsidR="00D56FC1">
        <w:rPr>
          <w:rFonts w:ascii="Arial" w:eastAsia="Arial" w:hAnsi="Arial" w:cs="Arial"/>
          <w:color w:val="000000"/>
          <w:lang w:eastAsia="pl-PL"/>
        </w:rPr>
        <w:t xml:space="preserve">powołany przez Organizatora </w:t>
      </w:r>
      <w:r w:rsidRPr="00E62D76">
        <w:rPr>
          <w:rFonts w:ascii="Arial" w:eastAsia="Arial" w:hAnsi="Arial" w:cs="Arial"/>
          <w:color w:val="000000"/>
          <w:lang w:eastAsia="pl-PL"/>
        </w:rPr>
        <w:t>Audytor dokona ponownej oceny z</w:t>
      </w:r>
      <w:r w:rsidR="00D56FC1">
        <w:rPr>
          <w:rFonts w:ascii="Arial" w:eastAsia="Arial" w:hAnsi="Arial" w:cs="Arial"/>
          <w:color w:val="000000"/>
          <w:lang w:eastAsia="pl-PL"/>
        </w:rPr>
        <w:t>asadności wniosku o dokonanie</w:t>
      </w:r>
      <w:r w:rsidRPr="00E62D76">
        <w:rPr>
          <w:rFonts w:ascii="Arial" w:eastAsia="Arial" w:hAnsi="Arial" w:cs="Arial"/>
          <w:color w:val="000000"/>
          <w:lang w:eastAsia="pl-PL"/>
        </w:rPr>
        <w:t xml:space="preserve"> Waloryzacji, a w pr</w:t>
      </w:r>
      <w:r w:rsidR="00E74A2E">
        <w:rPr>
          <w:rFonts w:ascii="Arial" w:eastAsia="Arial" w:hAnsi="Arial" w:cs="Arial"/>
          <w:color w:val="000000"/>
          <w:lang w:eastAsia="pl-PL"/>
        </w:rPr>
        <w:t>zypadku ustalenia, że zachodzą</w:t>
      </w:r>
      <w:r w:rsidRPr="00E62D76">
        <w:rPr>
          <w:rFonts w:ascii="Arial" w:eastAsia="Arial" w:hAnsi="Arial" w:cs="Arial"/>
          <w:color w:val="000000"/>
          <w:lang w:eastAsia="pl-PL"/>
        </w:rPr>
        <w:t xml:space="preserve"> podstawy do Waloryzacji, określi właściwą wysokość </w:t>
      </w:r>
      <w:r w:rsidR="00E74A2E">
        <w:rPr>
          <w:rFonts w:ascii="Arial" w:eastAsia="Arial" w:hAnsi="Arial" w:cs="Arial"/>
          <w:color w:val="000000"/>
          <w:lang w:eastAsia="pl-PL"/>
        </w:rPr>
        <w:t>rocznego wskaźnika</w:t>
      </w:r>
      <w:r w:rsidR="00A04EF7">
        <w:rPr>
          <w:rFonts w:ascii="Arial" w:eastAsia="Arial" w:hAnsi="Arial" w:cs="Arial"/>
          <w:color w:val="000000"/>
          <w:lang w:eastAsia="pl-PL"/>
        </w:rPr>
        <w:t xml:space="preserve"> Waloryzacji. Zakres badania audytora obejmuje</w:t>
      </w:r>
      <w:r w:rsidR="009A3ED1">
        <w:rPr>
          <w:rFonts w:ascii="Arial" w:eastAsia="Arial" w:hAnsi="Arial" w:cs="Arial"/>
          <w:color w:val="000000"/>
          <w:lang w:eastAsia="pl-PL"/>
        </w:rPr>
        <w:t xml:space="preserve"> wyłącznie</w:t>
      </w:r>
      <w:r w:rsidR="00A04EF7">
        <w:rPr>
          <w:rFonts w:ascii="Arial" w:eastAsia="Arial" w:hAnsi="Arial" w:cs="Arial"/>
          <w:color w:val="000000"/>
          <w:lang w:eastAsia="pl-PL"/>
        </w:rPr>
        <w:t xml:space="preserve"> istnienie podstaw do zastosowania Waloryzacji ze skutkiem na kolejny Okres Rozliczeniowy. N</w:t>
      </w:r>
      <w:r w:rsidR="00A04EF7" w:rsidRPr="00A04EF7">
        <w:rPr>
          <w:rFonts w:ascii="Arial" w:eastAsia="Arial" w:hAnsi="Arial" w:cs="Arial"/>
          <w:color w:val="000000"/>
          <w:lang w:eastAsia="pl-PL"/>
        </w:rPr>
        <w:t>a podstawie ustaleń Audytora</w:t>
      </w:r>
      <w:r w:rsidR="009A3ED1">
        <w:rPr>
          <w:rFonts w:ascii="Arial" w:eastAsia="Arial" w:hAnsi="Arial" w:cs="Arial"/>
          <w:color w:val="000000"/>
          <w:lang w:eastAsia="pl-PL"/>
        </w:rPr>
        <w:t xml:space="preserve"> Strona wnioskująca o zastosowanie Waloryzacji</w:t>
      </w:r>
      <w:r w:rsidR="00602BF1">
        <w:rPr>
          <w:rFonts w:ascii="Arial" w:eastAsia="Arial" w:hAnsi="Arial" w:cs="Arial"/>
          <w:color w:val="000000"/>
          <w:lang w:eastAsia="pl-PL"/>
        </w:rPr>
        <w:t>, o ile to konieczne,</w:t>
      </w:r>
      <w:r w:rsidR="00A04EF7" w:rsidRPr="00A04EF7">
        <w:rPr>
          <w:rFonts w:ascii="Arial" w:eastAsia="Arial" w:hAnsi="Arial" w:cs="Arial"/>
          <w:color w:val="000000"/>
          <w:lang w:eastAsia="pl-PL"/>
        </w:rPr>
        <w:t xml:space="preserve"> </w:t>
      </w:r>
      <w:r w:rsidR="009A3ED1">
        <w:rPr>
          <w:rFonts w:ascii="Arial" w:eastAsia="Arial" w:hAnsi="Arial" w:cs="Arial"/>
          <w:color w:val="000000"/>
          <w:lang w:eastAsia="pl-PL"/>
        </w:rPr>
        <w:t>dokona</w:t>
      </w:r>
      <w:r w:rsidR="00A04EF7" w:rsidRPr="00A04EF7">
        <w:rPr>
          <w:rFonts w:ascii="Arial" w:eastAsia="Arial" w:hAnsi="Arial" w:cs="Arial"/>
          <w:color w:val="000000"/>
          <w:lang w:eastAsia="pl-PL"/>
        </w:rPr>
        <w:t xml:space="preserve"> stosownych</w:t>
      </w:r>
      <w:r w:rsidR="00602BF1">
        <w:rPr>
          <w:rFonts w:ascii="Arial" w:eastAsia="Arial" w:hAnsi="Arial" w:cs="Arial"/>
          <w:color w:val="000000"/>
          <w:lang w:eastAsia="pl-PL"/>
        </w:rPr>
        <w:t xml:space="preserve"> zmian złożonego wniosku </w:t>
      </w:r>
      <w:r w:rsidR="00A04EF7">
        <w:rPr>
          <w:rFonts w:ascii="Arial" w:eastAsia="Arial" w:hAnsi="Arial" w:cs="Arial"/>
          <w:color w:val="000000"/>
          <w:lang w:eastAsia="pl-PL"/>
        </w:rPr>
        <w:t>poprzez obliczenie</w:t>
      </w:r>
      <w:r w:rsidR="00E74A2E">
        <w:rPr>
          <w:rFonts w:ascii="Arial" w:eastAsia="Arial" w:hAnsi="Arial" w:cs="Arial"/>
          <w:color w:val="000000"/>
          <w:lang w:eastAsia="pl-PL"/>
        </w:rPr>
        <w:t xml:space="preserve"> odpowiedni</w:t>
      </w:r>
      <w:r w:rsidR="00A04EF7">
        <w:rPr>
          <w:rFonts w:ascii="Arial" w:eastAsia="Arial" w:hAnsi="Arial" w:cs="Arial"/>
          <w:color w:val="000000"/>
          <w:lang w:eastAsia="pl-PL"/>
        </w:rPr>
        <w:t>ego</w:t>
      </w:r>
      <w:r w:rsidR="00E74A2E">
        <w:rPr>
          <w:rFonts w:ascii="Arial" w:eastAsia="Arial" w:hAnsi="Arial" w:cs="Arial"/>
          <w:color w:val="000000"/>
          <w:lang w:eastAsia="pl-PL"/>
        </w:rPr>
        <w:t xml:space="preserve"> wzrost</w:t>
      </w:r>
      <w:r w:rsidR="00A04EF7">
        <w:rPr>
          <w:rFonts w:ascii="Arial" w:eastAsia="Arial" w:hAnsi="Arial" w:cs="Arial"/>
          <w:color w:val="000000"/>
          <w:lang w:eastAsia="pl-PL"/>
        </w:rPr>
        <w:t>u</w:t>
      </w:r>
      <w:r w:rsidR="00E74A2E">
        <w:rPr>
          <w:rFonts w:ascii="Arial" w:eastAsia="Arial" w:hAnsi="Arial" w:cs="Arial"/>
          <w:color w:val="000000"/>
          <w:lang w:eastAsia="pl-PL"/>
        </w:rPr>
        <w:t xml:space="preserve"> stawek jednostkowych</w:t>
      </w:r>
      <w:r w:rsidR="006B5A1A">
        <w:rPr>
          <w:rFonts w:ascii="Arial" w:eastAsia="Arial" w:hAnsi="Arial" w:cs="Arial"/>
          <w:color w:val="000000"/>
          <w:lang w:eastAsia="pl-PL"/>
        </w:rPr>
        <w:t xml:space="preserve"> (koszt na</w:t>
      </w:r>
      <w:r w:rsidR="002D68D1">
        <w:rPr>
          <w:rFonts w:ascii="Arial" w:eastAsia="Arial" w:hAnsi="Arial" w:cs="Arial"/>
          <w:color w:val="000000"/>
          <w:lang w:eastAsia="pl-PL"/>
        </w:rPr>
        <w:t xml:space="preserve"> pocią</w:t>
      </w:r>
      <w:r w:rsidR="006B5A1A">
        <w:rPr>
          <w:rFonts w:ascii="Arial" w:eastAsia="Arial" w:hAnsi="Arial" w:cs="Arial"/>
          <w:color w:val="000000"/>
          <w:lang w:eastAsia="pl-PL"/>
        </w:rPr>
        <w:t>gokilometr)</w:t>
      </w:r>
      <w:r w:rsidR="00E74A2E">
        <w:rPr>
          <w:rFonts w:ascii="Arial" w:eastAsia="Arial" w:hAnsi="Arial" w:cs="Arial"/>
          <w:color w:val="000000"/>
          <w:lang w:eastAsia="pl-PL"/>
        </w:rPr>
        <w:t xml:space="preserve"> dla poszczególnych kategorii Kosztów Kwalifikowanych</w:t>
      </w:r>
      <w:r w:rsidR="00A04EF7">
        <w:rPr>
          <w:rFonts w:ascii="Arial" w:eastAsia="Arial" w:hAnsi="Arial" w:cs="Arial"/>
          <w:color w:val="000000"/>
          <w:lang w:eastAsia="pl-PL"/>
        </w:rPr>
        <w:t xml:space="preserve"> oraz obliczenie</w:t>
      </w:r>
      <w:r w:rsidRPr="00E62D76">
        <w:rPr>
          <w:rFonts w:ascii="Arial" w:eastAsia="Arial" w:hAnsi="Arial" w:cs="Arial"/>
          <w:color w:val="000000"/>
          <w:lang w:eastAsia="pl-PL"/>
        </w:rPr>
        <w:t xml:space="preserve"> wpływ</w:t>
      </w:r>
      <w:r w:rsidR="00A04EF7">
        <w:rPr>
          <w:rFonts w:ascii="Arial" w:eastAsia="Arial" w:hAnsi="Arial" w:cs="Arial"/>
          <w:color w:val="000000"/>
          <w:lang w:eastAsia="pl-PL"/>
        </w:rPr>
        <w:t>u</w:t>
      </w:r>
      <w:r w:rsidRPr="00E62D76">
        <w:rPr>
          <w:rFonts w:ascii="Arial" w:eastAsia="Arial" w:hAnsi="Arial" w:cs="Arial"/>
          <w:color w:val="000000"/>
          <w:lang w:eastAsia="pl-PL"/>
        </w:rPr>
        <w:t xml:space="preserve"> Waloryzacji na </w:t>
      </w:r>
      <w:r w:rsidR="00A04EF7">
        <w:rPr>
          <w:rFonts w:ascii="Arial" w:eastAsia="Arial" w:hAnsi="Arial" w:cs="Arial"/>
          <w:color w:val="000000"/>
          <w:lang w:eastAsia="pl-PL"/>
        </w:rPr>
        <w:t>prognozę należnej</w:t>
      </w:r>
      <w:r w:rsidRPr="00E62D76">
        <w:rPr>
          <w:rFonts w:ascii="Arial" w:eastAsia="Arial" w:hAnsi="Arial" w:cs="Arial"/>
          <w:color w:val="000000"/>
          <w:lang w:eastAsia="pl-PL"/>
        </w:rPr>
        <w:t xml:space="preserve"> Opera</w:t>
      </w:r>
      <w:r w:rsidR="00A04EF7">
        <w:rPr>
          <w:rFonts w:ascii="Arial" w:eastAsia="Arial" w:hAnsi="Arial" w:cs="Arial"/>
          <w:color w:val="000000"/>
          <w:lang w:eastAsia="pl-PL"/>
        </w:rPr>
        <w:t>torowi Rekompensaty</w:t>
      </w:r>
      <w:r w:rsidRPr="00E62D76">
        <w:rPr>
          <w:rFonts w:ascii="Arial" w:eastAsia="Arial" w:hAnsi="Arial" w:cs="Arial"/>
          <w:color w:val="000000"/>
          <w:lang w:eastAsia="pl-PL"/>
        </w:rPr>
        <w:t xml:space="preserve"> </w:t>
      </w:r>
      <w:r w:rsidR="00CB6E2C">
        <w:rPr>
          <w:rFonts w:ascii="Arial" w:eastAsia="Arial" w:hAnsi="Arial" w:cs="Arial"/>
          <w:color w:val="000000"/>
          <w:lang w:eastAsia="pl-PL"/>
        </w:rPr>
        <w:t>Kosztów</w:t>
      </w:r>
      <w:r w:rsidRPr="00E62D76">
        <w:rPr>
          <w:rFonts w:ascii="Arial" w:eastAsia="Arial" w:hAnsi="Arial" w:cs="Arial"/>
          <w:color w:val="000000"/>
          <w:lang w:eastAsia="pl-PL"/>
        </w:rPr>
        <w:t>.</w:t>
      </w:r>
      <w:r w:rsidR="00A04EF7">
        <w:rPr>
          <w:rFonts w:ascii="Arial" w:eastAsia="Arial" w:hAnsi="Arial" w:cs="Arial"/>
          <w:color w:val="000000"/>
          <w:lang w:eastAsia="pl-PL"/>
        </w:rPr>
        <w:t xml:space="preserve"> </w:t>
      </w:r>
    </w:p>
    <w:p w14:paraId="1E1910CF" w14:textId="4D15B805" w:rsidR="00EE4B87" w:rsidRPr="008659DB" w:rsidRDefault="00EE4B87" w:rsidP="00EE4B87">
      <w:pPr>
        <w:spacing w:after="124" w:line="240" w:lineRule="auto"/>
        <w:ind w:left="720" w:right="5"/>
        <w:contextualSpacing/>
        <w:jc w:val="both"/>
        <w:rPr>
          <w:rFonts w:ascii="Arial" w:eastAsia="Arial" w:hAnsi="Arial" w:cs="Arial"/>
          <w:color w:val="000000"/>
          <w:lang w:eastAsia="pl-PL"/>
        </w:rPr>
      </w:pPr>
      <w:r w:rsidRPr="00E62D76">
        <w:rPr>
          <w:rFonts w:ascii="Arial" w:eastAsia="Arial" w:hAnsi="Arial" w:cs="Arial"/>
          <w:color w:val="000000"/>
          <w:lang w:eastAsia="pl-PL"/>
        </w:rPr>
        <w:t>Dla uniknięcia wszelkich wątpliwości Strony wyjaśniają, że Waloryzacja może powodować zarówno podniesienie, jak i obniżenie Rekompensaty</w:t>
      </w:r>
      <w:r w:rsidR="00CB6E2C">
        <w:rPr>
          <w:rFonts w:ascii="Arial" w:eastAsia="Arial" w:hAnsi="Arial" w:cs="Arial"/>
          <w:color w:val="000000"/>
          <w:lang w:eastAsia="pl-PL"/>
        </w:rPr>
        <w:t xml:space="preserve"> Kosztów</w:t>
      </w:r>
      <w:r w:rsidRPr="00E62D76">
        <w:rPr>
          <w:rFonts w:ascii="Arial" w:eastAsia="Arial" w:hAnsi="Arial" w:cs="Arial"/>
          <w:color w:val="000000"/>
          <w:lang w:eastAsia="pl-PL"/>
        </w:rPr>
        <w:t>, na co obie Strony się g</w:t>
      </w:r>
      <w:r w:rsidR="00CB6E2C">
        <w:rPr>
          <w:rFonts w:ascii="Arial" w:eastAsia="Arial" w:hAnsi="Arial" w:cs="Arial"/>
          <w:color w:val="000000"/>
          <w:lang w:eastAsia="pl-PL"/>
        </w:rPr>
        <w:t>odzą. Waloryzacja Rekompensaty Kosztów</w:t>
      </w:r>
      <w:r w:rsidRPr="00E62D76">
        <w:rPr>
          <w:rFonts w:ascii="Arial" w:eastAsia="Arial" w:hAnsi="Arial" w:cs="Arial"/>
          <w:color w:val="000000"/>
          <w:lang w:eastAsia="pl-PL"/>
        </w:rPr>
        <w:t xml:space="preserve"> ma urealnić zakres świadczenia na rzecz Operatora w związku ze zmianą wartości pieniądza w czasie, z zachowaniem zasad przejrzystości i obiektywizmu niezbędnych w ramach zamówienia </w:t>
      </w:r>
      <w:r w:rsidRPr="008659DB">
        <w:rPr>
          <w:rFonts w:ascii="Arial" w:eastAsia="Arial" w:hAnsi="Arial" w:cs="Arial"/>
          <w:color w:val="000000"/>
          <w:lang w:eastAsia="pl-PL"/>
        </w:rPr>
        <w:t xml:space="preserve">publicznego. </w:t>
      </w:r>
    </w:p>
    <w:p w14:paraId="65B6D3F8" w14:textId="7F6554AA" w:rsidR="00C9622E" w:rsidRPr="008659DB" w:rsidRDefault="00C9622E" w:rsidP="00C9622E">
      <w:pPr>
        <w:spacing w:after="124" w:line="240" w:lineRule="auto"/>
        <w:ind w:left="720" w:right="5"/>
        <w:contextualSpacing/>
        <w:jc w:val="both"/>
        <w:rPr>
          <w:rFonts w:ascii="Arial" w:eastAsia="Arial" w:hAnsi="Arial" w:cs="Arial"/>
          <w:color w:val="000000"/>
          <w:lang w:eastAsia="pl-PL"/>
        </w:rPr>
      </w:pPr>
      <w:r w:rsidRPr="008659DB">
        <w:rPr>
          <w:rFonts w:ascii="Arial" w:eastAsia="Arial" w:hAnsi="Arial" w:cs="Arial"/>
          <w:color w:val="000000"/>
          <w:lang w:eastAsia="pl-PL"/>
        </w:rPr>
        <w:t>Operator, którego Koszty Kwalifikowane zostaną zmienione zgodnie ze sposobem zmiany opisanym powyżej, 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14:paraId="2F595F62" w14:textId="4BA470A7" w:rsidR="00C9622E" w:rsidRPr="008659DB" w:rsidRDefault="00C9622E" w:rsidP="00C9622E">
      <w:pPr>
        <w:spacing w:after="124" w:line="240" w:lineRule="auto"/>
        <w:ind w:left="720" w:right="5"/>
        <w:contextualSpacing/>
        <w:jc w:val="both"/>
        <w:rPr>
          <w:rFonts w:ascii="Arial" w:eastAsia="Arial" w:hAnsi="Arial" w:cs="Arial"/>
          <w:color w:val="000000"/>
          <w:lang w:eastAsia="pl-PL"/>
        </w:rPr>
      </w:pPr>
      <w:r w:rsidRPr="008659DB">
        <w:rPr>
          <w:rFonts w:ascii="Arial" w:eastAsia="Arial" w:hAnsi="Arial" w:cs="Arial"/>
          <w:color w:val="000000"/>
          <w:lang w:eastAsia="pl-PL"/>
        </w:rPr>
        <w:t xml:space="preserve">1) przedmiotem umowy </w:t>
      </w:r>
      <w:r w:rsidRPr="00201F2C">
        <w:rPr>
          <w:rFonts w:ascii="Arial" w:eastAsia="Arial" w:hAnsi="Arial" w:cs="Arial"/>
          <w:lang w:eastAsia="pl-PL"/>
        </w:rPr>
        <w:t xml:space="preserve">są roboty budowlane, dostawy </w:t>
      </w:r>
      <w:r w:rsidRPr="008659DB">
        <w:rPr>
          <w:rFonts w:ascii="Arial" w:eastAsia="Arial" w:hAnsi="Arial" w:cs="Arial"/>
          <w:color w:val="000000"/>
          <w:lang w:eastAsia="pl-PL"/>
        </w:rPr>
        <w:t>lub usługi;</w:t>
      </w:r>
    </w:p>
    <w:p w14:paraId="2CF4DB7A" w14:textId="1FBA6BE4" w:rsidR="00EE2597" w:rsidRPr="00201F2C" w:rsidRDefault="00C9622E" w:rsidP="00C9622E">
      <w:pPr>
        <w:spacing w:after="124" w:line="240" w:lineRule="auto"/>
        <w:ind w:left="720" w:right="5"/>
        <w:contextualSpacing/>
        <w:jc w:val="both"/>
        <w:rPr>
          <w:rFonts w:ascii="Arial" w:eastAsia="Arial" w:hAnsi="Arial" w:cs="Arial"/>
          <w:color w:val="000000"/>
          <w:highlight w:val="yellow"/>
          <w:lang w:eastAsia="pl-PL"/>
        </w:rPr>
      </w:pPr>
      <w:r w:rsidRPr="008659DB">
        <w:rPr>
          <w:rFonts w:ascii="Arial" w:eastAsia="Arial" w:hAnsi="Arial" w:cs="Arial"/>
          <w:color w:val="000000"/>
          <w:lang w:eastAsia="pl-PL"/>
        </w:rPr>
        <w:t>2) okres obowiązywania umowy przekracza 6 miesięcy.</w:t>
      </w:r>
    </w:p>
    <w:p w14:paraId="71BBCAC3" w14:textId="48D7C1D6" w:rsidR="00C9622E" w:rsidRPr="00201F2C" w:rsidRDefault="00C9622E" w:rsidP="00C9622E">
      <w:pPr>
        <w:spacing w:after="124" w:line="240" w:lineRule="auto"/>
        <w:ind w:left="720" w:right="5"/>
        <w:contextualSpacing/>
        <w:jc w:val="both"/>
        <w:rPr>
          <w:rFonts w:ascii="Arial" w:eastAsia="Arial" w:hAnsi="Arial" w:cs="Arial"/>
          <w:color w:val="000000"/>
          <w:lang w:eastAsia="pl-PL"/>
        </w:rPr>
      </w:pPr>
    </w:p>
    <w:p w14:paraId="767228B9" w14:textId="6EB34658" w:rsidR="001C5161" w:rsidRPr="00E62D76" w:rsidRDefault="001C5161" w:rsidP="00201F2C">
      <w:pPr>
        <w:numPr>
          <w:ilvl w:val="1"/>
          <w:numId w:val="1"/>
        </w:numPr>
        <w:spacing w:after="0" w:line="240" w:lineRule="auto"/>
        <w:ind w:left="567" w:right="6" w:hanging="357"/>
        <w:jc w:val="both"/>
        <w:rPr>
          <w:rFonts w:ascii="Arial" w:eastAsia="Arial" w:hAnsi="Arial" w:cs="Arial"/>
          <w:b/>
          <w:color w:val="000000"/>
          <w:lang w:eastAsia="pl-PL"/>
        </w:rPr>
      </w:pPr>
      <w:r w:rsidRPr="00E62D76">
        <w:rPr>
          <w:rFonts w:ascii="Arial" w:eastAsia="Arial" w:hAnsi="Arial" w:cs="Arial"/>
          <w:b/>
          <w:color w:val="000000"/>
          <w:lang w:eastAsia="pl-PL"/>
        </w:rPr>
        <w:t>Waloryzacja ustawowa</w:t>
      </w:r>
    </w:p>
    <w:p w14:paraId="2D629BF9" w14:textId="77777777" w:rsidR="00BC28D6" w:rsidRPr="00BC28D6" w:rsidRDefault="00BC28D6" w:rsidP="00BC28D6">
      <w:pPr>
        <w:pStyle w:val="Akapitzlist"/>
        <w:numPr>
          <w:ilvl w:val="0"/>
          <w:numId w:val="5"/>
        </w:numPr>
        <w:spacing w:after="124" w:line="240" w:lineRule="auto"/>
        <w:jc w:val="both"/>
        <w:rPr>
          <w:rFonts w:ascii="Arial" w:eastAsia="Arial" w:hAnsi="Arial" w:cs="Arial"/>
          <w:vanish/>
          <w:color w:val="000000"/>
          <w:lang w:eastAsia="pl-PL"/>
        </w:rPr>
      </w:pPr>
    </w:p>
    <w:p w14:paraId="7F548DB7" w14:textId="77777777" w:rsidR="00BC28D6" w:rsidRPr="00BC28D6" w:rsidRDefault="00BC28D6" w:rsidP="00BC28D6">
      <w:pPr>
        <w:pStyle w:val="Akapitzlist"/>
        <w:numPr>
          <w:ilvl w:val="1"/>
          <w:numId w:val="5"/>
        </w:numPr>
        <w:spacing w:after="124" w:line="240" w:lineRule="auto"/>
        <w:jc w:val="both"/>
        <w:rPr>
          <w:rFonts w:ascii="Arial" w:eastAsia="Arial" w:hAnsi="Arial" w:cs="Arial"/>
          <w:vanish/>
          <w:color w:val="000000"/>
          <w:lang w:eastAsia="pl-PL"/>
        </w:rPr>
      </w:pPr>
    </w:p>
    <w:p w14:paraId="0EEC23AB" w14:textId="1D785DEB" w:rsidR="001C5161" w:rsidRPr="00BC28D6" w:rsidRDefault="00CB6E2C" w:rsidP="00BC28D6">
      <w:pPr>
        <w:pStyle w:val="Akapitzlist"/>
        <w:numPr>
          <w:ilvl w:val="2"/>
          <w:numId w:val="1"/>
        </w:numPr>
        <w:spacing w:after="124" w:line="240" w:lineRule="auto"/>
        <w:jc w:val="both"/>
        <w:rPr>
          <w:rFonts w:ascii="Arial" w:eastAsia="Arial" w:hAnsi="Arial" w:cs="Arial"/>
          <w:color w:val="000000"/>
          <w:lang w:eastAsia="pl-PL"/>
        </w:rPr>
      </w:pPr>
      <w:r w:rsidRPr="00BC28D6">
        <w:rPr>
          <w:rFonts w:ascii="Arial" w:eastAsia="Arial" w:hAnsi="Arial" w:cs="Arial"/>
          <w:color w:val="000000"/>
          <w:lang w:eastAsia="pl-PL"/>
        </w:rPr>
        <w:t xml:space="preserve">Począwszy od Okresu Rozliczeniowego obejmującego rozkład jazdy 2026/2027 </w:t>
      </w:r>
      <w:r w:rsidR="001C5161" w:rsidRPr="00BC28D6">
        <w:rPr>
          <w:rFonts w:ascii="Arial" w:eastAsia="Arial" w:hAnsi="Arial" w:cs="Arial"/>
          <w:color w:val="000000"/>
          <w:lang w:eastAsia="pl-PL"/>
        </w:rPr>
        <w:t xml:space="preserve">Strony przewidują możliwość zmiany postanowień Umowy w stosunku do treści oferty, na podstawie której dokonano wyboru Operatora, gdy dotyczyć ona będzie zmiany wysokości </w:t>
      </w:r>
      <w:r w:rsidR="0079390B" w:rsidRPr="00F02158">
        <w:rPr>
          <w:rFonts w:ascii="Arial" w:eastAsia="Arial" w:hAnsi="Arial" w:cs="Arial"/>
          <w:color w:val="000000"/>
          <w:lang w:eastAsia="pl-PL"/>
        </w:rPr>
        <w:t>Rekompensaty Kosztów</w:t>
      </w:r>
      <w:r w:rsidR="001C5161" w:rsidRPr="00F02158">
        <w:rPr>
          <w:rFonts w:ascii="Arial" w:eastAsia="Arial" w:hAnsi="Arial" w:cs="Arial"/>
          <w:color w:val="000000"/>
          <w:lang w:eastAsia="pl-PL"/>
        </w:rPr>
        <w:t xml:space="preserve"> </w:t>
      </w:r>
      <w:r w:rsidR="001C5161" w:rsidRPr="00BC28D6">
        <w:rPr>
          <w:rFonts w:ascii="Arial" w:eastAsia="Arial" w:hAnsi="Arial" w:cs="Arial"/>
          <w:color w:val="000000"/>
          <w:lang w:eastAsia="pl-PL"/>
        </w:rPr>
        <w:t xml:space="preserve">należnej Operatorowi, w następujących okolicznościach: </w:t>
      </w:r>
    </w:p>
    <w:p w14:paraId="14211072" w14:textId="7E93613D" w:rsidR="001C5161" w:rsidRPr="008659DB" w:rsidRDefault="001C5161" w:rsidP="00CB6E2C">
      <w:pPr>
        <w:pStyle w:val="Akapitzlist"/>
        <w:numPr>
          <w:ilvl w:val="3"/>
          <w:numId w:val="9"/>
        </w:numPr>
        <w:spacing w:after="124" w:line="240" w:lineRule="auto"/>
        <w:jc w:val="both"/>
        <w:rPr>
          <w:rFonts w:ascii="Arial" w:eastAsia="Arial" w:hAnsi="Arial" w:cs="Arial"/>
          <w:color w:val="000000"/>
          <w:lang w:eastAsia="pl-PL"/>
        </w:rPr>
      </w:pPr>
      <w:r w:rsidRPr="008659DB">
        <w:rPr>
          <w:rFonts w:ascii="Arial" w:eastAsia="Arial" w:hAnsi="Arial" w:cs="Arial"/>
          <w:color w:val="000000"/>
          <w:lang w:eastAsia="pl-PL"/>
        </w:rPr>
        <w:t xml:space="preserve">zmiany stawki podatku od towarów i usług </w:t>
      </w:r>
      <w:r w:rsidR="00FF7270" w:rsidRPr="008659DB">
        <w:rPr>
          <w:rFonts w:ascii="Arial" w:eastAsia="Arial" w:hAnsi="Arial" w:cs="Arial"/>
          <w:color w:val="000000"/>
          <w:lang w:eastAsia="pl-PL"/>
        </w:rPr>
        <w:t xml:space="preserve">oraz podatku akcyzowego </w:t>
      </w:r>
      <w:r w:rsidRPr="008659DB">
        <w:rPr>
          <w:rFonts w:ascii="Arial" w:eastAsia="Arial" w:hAnsi="Arial" w:cs="Arial"/>
          <w:color w:val="000000"/>
          <w:lang w:eastAsia="pl-PL"/>
        </w:rPr>
        <w:t>– zmiana ta odnosić się będzie wyłącznie do części Przedmiotu Umowy zrealizowanej, zgodnie z terminami ustalonymi Umową, po dniu wejścia w życie przepisów zmieniających stawkę podatku od towarów i usług oraz wyłącznie do części Przedmiotu Umowy, do której zastosowanie znajdzie zmiana sta</w:t>
      </w:r>
      <w:r w:rsidR="00CB6E2C" w:rsidRPr="008659DB">
        <w:rPr>
          <w:rFonts w:ascii="Arial" w:eastAsia="Arial" w:hAnsi="Arial" w:cs="Arial"/>
          <w:color w:val="000000"/>
          <w:lang w:eastAsia="pl-PL"/>
        </w:rPr>
        <w:t>wki podatku od towarów i usług.</w:t>
      </w:r>
    </w:p>
    <w:p w14:paraId="5380972A" w14:textId="23FBC461" w:rsidR="001C5161" w:rsidRPr="008659DB" w:rsidRDefault="001C5161" w:rsidP="00FF7270">
      <w:pPr>
        <w:pStyle w:val="Akapitzlist"/>
        <w:numPr>
          <w:ilvl w:val="3"/>
          <w:numId w:val="9"/>
        </w:numPr>
        <w:spacing w:after="124" w:line="240" w:lineRule="auto"/>
        <w:jc w:val="both"/>
        <w:rPr>
          <w:rFonts w:ascii="Arial" w:eastAsia="Arial" w:hAnsi="Arial" w:cs="Arial"/>
          <w:color w:val="000000"/>
          <w:lang w:eastAsia="pl-PL"/>
        </w:rPr>
      </w:pPr>
      <w:r w:rsidRPr="008659DB">
        <w:rPr>
          <w:rFonts w:ascii="Arial" w:eastAsia="Arial" w:hAnsi="Arial" w:cs="Arial"/>
          <w:color w:val="000000"/>
          <w:lang w:eastAsia="pl-PL"/>
        </w:rPr>
        <w:t xml:space="preserve">zmiany wysokości minimalnego wynagrodzenia za pracę </w:t>
      </w:r>
      <w:r w:rsidR="00FF7270" w:rsidRPr="008659DB">
        <w:rPr>
          <w:rFonts w:ascii="Arial" w:eastAsia="Arial" w:hAnsi="Arial" w:cs="Arial"/>
          <w:color w:val="000000"/>
          <w:lang w:eastAsia="pl-PL"/>
        </w:rPr>
        <w:t xml:space="preserve">albo wysokości minimalnej stawki godzinowej, </w:t>
      </w:r>
      <w:r w:rsidRPr="008659DB">
        <w:rPr>
          <w:rFonts w:ascii="Arial" w:eastAsia="Arial" w:hAnsi="Arial" w:cs="Arial"/>
          <w:color w:val="000000"/>
          <w:lang w:eastAsia="pl-PL"/>
        </w:rPr>
        <w:t>ustalon</w:t>
      </w:r>
      <w:r w:rsidR="00FF7270" w:rsidRPr="008659DB">
        <w:rPr>
          <w:rFonts w:ascii="Arial" w:eastAsia="Arial" w:hAnsi="Arial" w:cs="Arial"/>
          <w:color w:val="000000"/>
          <w:lang w:eastAsia="pl-PL"/>
        </w:rPr>
        <w:t xml:space="preserve">ych </w:t>
      </w:r>
      <w:r w:rsidRPr="008659DB">
        <w:rPr>
          <w:rFonts w:ascii="Arial" w:eastAsia="Arial" w:hAnsi="Arial" w:cs="Arial"/>
          <w:color w:val="000000"/>
          <w:lang w:eastAsia="pl-PL"/>
        </w:rPr>
        <w:t xml:space="preserve">na podstawie ustawy z dnia 10 października 2002 r. o minimalnym wynagrodzeniu za pracę, </w:t>
      </w:r>
    </w:p>
    <w:p w14:paraId="0734177A" w14:textId="6FAE7194" w:rsidR="001C5161" w:rsidRPr="008659DB" w:rsidRDefault="001C5161" w:rsidP="00CB6E2C">
      <w:pPr>
        <w:pStyle w:val="Akapitzlist"/>
        <w:numPr>
          <w:ilvl w:val="3"/>
          <w:numId w:val="9"/>
        </w:numPr>
        <w:spacing w:after="124" w:line="240" w:lineRule="auto"/>
        <w:jc w:val="both"/>
        <w:rPr>
          <w:rFonts w:ascii="Arial" w:eastAsia="Arial" w:hAnsi="Arial" w:cs="Arial"/>
          <w:color w:val="000000"/>
          <w:lang w:eastAsia="pl-PL"/>
        </w:rPr>
      </w:pPr>
      <w:r w:rsidRPr="008659DB">
        <w:rPr>
          <w:rFonts w:ascii="Arial" w:eastAsia="Arial" w:hAnsi="Arial" w:cs="Arial"/>
          <w:color w:val="000000"/>
          <w:lang w:eastAsia="pl-PL"/>
        </w:rPr>
        <w:t xml:space="preserve">zmiany zasad podlegania ubezpieczeniom społecznym lub ubezpieczeniu zdrowotnemu lub wysokości stawki składki na ubezpieczenia społeczne lub </w:t>
      </w:r>
      <w:r w:rsidR="00FF7270" w:rsidRPr="008659DB">
        <w:rPr>
          <w:rFonts w:ascii="Arial" w:eastAsia="Arial" w:hAnsi="Arial" w:cs="Arial"/>
          <w:color w:val="000000"/>
          <w:lang w:eastAsia="pl-PL"/>
        </w:rPr>
        <w:t xml:space="preserve">ubezpieczenie </w:t>
      </w:r>
      <w:r w:rsidRPr="008659DB">
        <w:rPr>
          <w:rFonts w:ascii="Arial" w:eastAsia="Arial" w:hAnsi="Arial" w:cs="Arial"/>
          <w:color w:val="000000"/>
          <w:lang w:eastAsia="pl-PL"/>
        </w:rPr>
        <w:t>zdrowotne,</w:t>
      </w:r>
    </w:p>
    <w:p w14:paraId="74756867" w14:textId="5FC49100" w:rsidR="001C5161" w:rsidRPr="008659DB" w:rsidRDefault="001C5161" w:rsidP="00CB6E2C">
      <w:pPr>
        <w:pStyle w:val="Akapitzlist"/>
        <w:numPr>
          <w:ilvl w:val="3"/>
          <w:numId w:val="9"/>
        </w:numPr>
        <w:spacing w:after="124" w:line="240" w:lineRule="auto"/>
        <w:jc w:val="both"/>
        <w:rPr>
          <w:rFonts w:ascii="Arial" w:eastAsia="Arial" w:hAnsi="Arial" w:cs="Arial"/>
          <w:color w:val="000000"/>
          <w:lang w:eastAsia="pl-PL"/>
        </w:rPr>
      </w:pPr>
      <w:r w:rsidRPr="008659DB">
        <w:rPr>
          <w:rFonts w:ascii="Arial" w:eastAsia="Arial" w:hAnsi="Arial" w:cs="Arial"/>
          <w:color w:val="000000"/>
          <w:lang w:eastAsia="pl-PL"/>
        </w:rPr>
        <w:lastRenderedPageBreak/>
        <w:t>zmiany zasad gromadzenia i wysokości wpłat do pracowniczych planów kapitałowych, o których mowa w ustawie z dnia 4 października 2018 r. o pracowniczych planach kapitałowych</w:t>
      </w:r>
    </w:p>
    <w:p w14:paraId="57332363" w14:textId="0B9E66AF" w:rsidR="001C5161" w:rsidRPr="008659DB" w:rsidRDefault="001C5161" w:rsidP="001C5161">
      <w:pPr>
        <w:spacing w:after="124" w:line="240" w:lineRule="auto"/>
        <w:ind w:left="720"/>
        <w:contextualSpacing/>
        <w:jc w:val="both"/>
        <w:rPr>
          <w:rFonts w:ascii="Arial" w:eastAsia="Arial" w:hAnsi="Arial" w:cs="Arial"/>
          <w:color w:val="000000"/>
          <w:lang w:eastAsia="pl-PL"/>
        </w:rPr>
      </w:pPr>
      <w:r w:rsidRPr="008659DB">
        <w:rPr>
          <w:rFonts w:ascii="Arial" w:eastAsia="Arial" w:hAnsi="Arial" w:cs="Arial"/>
          <w:color w:val="000000"/>
          <w:lang w:eastAsia="pl-PL"/>
        </w:rPr>
        <w:t xml:space="preserve">-  jeżeli zmiany te będą miały wpływ na koszt wykonania Umowy przez Operatora. </w:t>
      </w:r>
    </w:p>
    <w:p w14:paraId="56D5ECE3" w14:textId="72E4F0A3" w:rsidR="0079390B" w:rsidRPr="008659DB" w:rsidRDefault="0079390B" w:rsidP="001C5161">
      <w:pPr>
        <w:spacing w:after="124" w:line="240" w:lineRule="auto"/>
        <w:ind w:left="720"/>
        <w:contextualSpacing/>
        <w:jc w:val="both"/>
        <w:rPr>
          <w:rFonts w:ascii="Arial" w:eastAsia="Arial" w:hAnsi="Arial" w:cs="Arial"/>
          <w:color w:val="000000"/>
          <w:lang w:eastAsia="pl-PL"/>
        </w:rPr>
      </w:pPr>
    </w:p>
    <w:p w14:paraId="5FE1836D" w14:textId="2A8962D0" w:rsidR="001C5161" w:rsidRPr="008659DB" w:rsidRDefault="001C5161" w:rsidP="00BC28D6">
      <w:pPr>
        <w:pStyle w:val="Akapitzlist"/>
        <w:numPr>
          <w:ilvl w:val="2"/>
          <w:numId w:val="1"/>
        </w:numPr>
        <w:spacing w:after="124" w:line="240" w:lineRule="auto"/>
        <w:jc w:val="both"/>
        <w:rPr>
          <w:rFonts w:ascii="Arial" w:eastAsia="Arial" w:hAnsi="Arial" w:cs="Arial"/>
          <w:color w:val="000000"/>
          <w:lang w:eastAsia="pl-PL"/>
        </w:rPr>
      </w:pPr>
      <w:r w:rsidRPr="008659DB">
        <w:rPr>
          <w:rFonts w:ascii="Arial" w:eastAsia="Arial" w:hAnsi="Arial" w:cs="Arial"/>
          <w:color w:val="000000"/>
          <w:lang w:eastAsia="pl-PL"/>
        </w:rPr>
        <w:t xml:space="preserve">Zmiana wysokości </w:t>
      </w:r>
      <w:r w:rsidR="0033403B" w:rsidRPr="008659DB">
        <w:rPr>
          <w:rFonts w:ascii="Arial" w:eastAsia="Arial" w:hAnsi="Arial" w:cs="Arial"/>
          <w:color w:val="000000"/>
          <w:lang w:eastAsia="pl-PL"/>
        </w:rPr>
        <w:t xml:space="preserve">Rekompensaty Kosztów </w:t>
      </w:r>
      <w:r w:rsidRPr="008659DB">
        <w:rPr>
          <w:rFonts w:ascii="Arial" w:eastAsia="Arial" w:hAnsi="Arial" w:cs="Arial"/>
          <w:color w:val="000000"/>
          <w:lang w:eastAsia="pl-PL"/>
        </w:rPr>
        <w:t xml:space="preserve">w przypadkach, o których mowa w </w:t>
      </w:r>
      <w:r w:rsidR="00E20D85" w:rsidRPr="008659DB">
        <w:rPr>
          <w:rFonts w:ascii="Arial" w:eastAsia="Arial" w:hAnsi="Arial" w:cs="Arial"/>
          <w:color w:val="000000"/>
          <w:lang w:eastAsia="pl-PL"/>
        </w:rPr>
        <w:t xml:space="preserve">pkt 4.6.1. </w:t>
      </w:r>
      <w:r w:rsidRPr="008659DB">
        <w:rPr>
          <w:rFonts w:ascii="Arial" w:eastAsia="Arial" w:hAnsi="Arial" w:cs="Arial"/>
          <w:color w:val="000000"/>
          <w:lang w:eastAsia="pl-PL"/>
        </w:rPr>
        <w:t>lit. b i c, obejmować będzie wyłącznie</w:t>
      </w:r>
      <w:r w:rsidR="006A7F02" w:rsidRPr="008659DB">
        <w:rPr>
          <w:rFonts w:ascii="Arial" w:eastAsia="Arial" w:hAnsi="Arial" w:cs="Arial"/>
          <w:color w:val="000000"/>
          <w:lang w:eastAsia="pl-PL"/>
        </w:rPr>
        <w:t xml:space="preserve"> te</w:t>
      </w:r>
      <w:r w:rsidR="0033403B" w:rsidRPr="008659DB">
        <w:rPr>
          <w:rFonts w:ascii="Arial" w:eastAsia="Arial" w:hAnsi="Arial" w:cs="Arial"/>
          <w:color w:val="000000"/>
          <w:lang w:eastAsia="pl-PL"/>
        </w:rPr>
        <w:t xml:space="preserve"> Ko</w:t>
      </w:r>
      <w:r w:rsidR="006A7F02" w:rsidRPr="008659DB">
        <w:rPr>
          <w:rFonts w:ascii="Arial" w:eastAsia="Arial" w:hAnsi="Arial" w:cs="Arial"/>
          <w:color w:val="000000"/>
          <w:lang w:eastAsia="pl-PL"/>
        </w:rPr>
        <w:t>szty Kwalifikowane, w odniesieniu do których</w:t>
      </w:r>
      <w:r w:rsidRPr="008659DB">
        <w:rPr>
          <w:rFonts w:ascii="Arial" w:eastAsia="Arial" w:hAnsi="Arial" w:cs="Arial"/>
          <w:color w:val="000000"/>
          <w:lang w:eastAsia="pl-PL"/>
        </w:rPr>
        <w:t xml:space="preserve"> nastąpiła zmiana wysokości kosztów wykonania Umowy przez </w:t>
      </w:r>
      <w:r w:rsidR="002F56F6" w:rsidRPr="008659DB">
        <w:rPr>
          <w:rFonts w:ascii="Arial" w:eastAsia="Arial" w:hAnsi="Arial" w:cs="Arial"/>
          <w:color w:val="000000"/>
          <w:lang w:eastAsia="pl-PL"/>
        </w:rPr>
        <w:t>Operatora</w:t>
      </w:r>
      <w:r w:rsidRPr="008659DB">
        <w:rPr>
          <w:rFonts w:ascii="Arial" w:eastAsia="Arial" w:hAnsi="Arial" w:cs="Arial"/>
          <w:color w:val="000000"/>
          <w:lang w:eastAsia="pl-PL"/>
        </w:rPr>
        <w:t xml:space="preserve"> w związku z wejściem w życie przepisów odpowiednio zmieniających wysokość minimalnego wynagrodzenia za pracę</w:t>
      </w:r>
      <w:r w:rsidR="00FF7270" w:rsidRPr="008659DB">
        <w:rPr>
          <w:rFonts w:ascii="Arial" w:eastAsia="Arial" w:hAnsi="Arial" w:cs="Arial"/>
          <w:color w:val="000000"/>
          <w:lang w:eastAsia="pl-PL"/>
        </w:rPr>
        <w:t>, minimaln</w:t>
      </w:r>
      <w:r w:rsidR="009A3563" w:rsidRPr="008659DB">
        <w:rPr>
          <w:rFonts w:ascii="Arial" w:eastAsia="Arial" w:hAnsi="Arial" w:cs="Arial"/>
          <w:color w:val="000000"/>
          <w:lang w:eastAsia="pl-PL"/>
        </w:rPr>
        <w:t xml:space="preserve">ą </w:t>
      </w:r>
      <w:r w:rsidR="00FF7270" w:rsidRPr="008659DB">
        <w:rPr>
          <w:rFonts w:ascii="Arial" w:eastAsia="Arial" w:hAnsi="Arial" w:cs="Arial"/>
          <w:color w:val="000000"/>
          <w:lang w:eastAsia="pl-PL"/>
        </w:rPr>
        <w:t>stawk</w:t>
      </w:r>
      <w:r w:rsidR="009A3563" w:rsidRPr="008659DB">
        <w:rPr>
          <w:rFonts w:ascii="Arial" w:eastAsia="Arial" w:hAnsi="Arial" w:cs="Arial"/>
          <w:color w:val="000000"/>
          <w:lang w:eastAsia="pl-PL"/>
        </w:rPr>
        <w:t>ę</w:t>
      </w:r>
      <w:r w:rsidR="00FF7270" w:rsidRPr="008659DB">
        <w:rPr>
          <w:rFonts w:ascii="Arial" w:eastAsia="Arial" w:hAnsi="Arial" w:cs="Arial"/>
          <w:color w:val="000000"/>
          <w:lang w:eastAsia="pl-PL"/>
        </w:rPr>
        <w:t xml:space="preserve"> godzinow</w:t>
      </w:r>
      <w:r w:rsidR="009A3563" w:rsidRPr="008659DB">
        <w:rPr>
          <w:rFonts w:ascii="Arial" w:eastAsia="Arial" w:hAnsi="Arial" w:cs="Arial"/>
          <w:color w:val="000000"/>
          <w:lang w:eastAsia="pl-PL"/>
        </w:rPr>
        <w:t>ą</w:t>
      </w:r>
      <w:r w:rsidR="00FF7270" w:rsidRPr="008659DB">
        <w:rPr>
          <w:rFonts w:ascii="Arial" w:eastAsia="Arial" w:hAnsi="Arial" w:cs="Arial"/>
          <w:color w:val="000000"/>
          <w:lang w:eastAsia="pl-PL"/>
        </w:rPr>
        <w:t xml:space="preserve"> </w:t>
      </w:r>
      <w:r w:rsidRPr="008659DB">
        <w:rPr>
          <w:rFonts w:ascii="Arial" w:eastAsia="Arial" w:hAnsi="Arial" w:cs="Arial"/>
          <w:color w:val="000000"/>
          <w:lang w:eastAsia="pl-PL"/>
        </w:rPr>
        <w:t>lub dokonujących zmian w zakresie zasad podlegania ubezpieczeniom społecznym lub ubezpieczeniu zdrowotnemu lub w zakresie wysokości stawki składki na ubezpieczenia społeczne lub zdrowotne.</w:t>
      </w:r>
    </w:p>
    <w:p w14:paraId="697BCD1A" w14:textId="0B583023" w:rsidR="001C5161" w:rsidRPr="008659DB" w:rsidRDefault="001C5161" w:rsidP="009A3563">
      <w:pPr>
        <w:pStyle w:val="Akapitzlist"/>
        <w:numPr>
          <w:ilvl w:val="2"/>
          <w:numId w:val="1"/>
        </w:numPr>
        <w:spacing w:after="124" w:line="240" w:lineRule="auto"/>
        <w:jc w:val="both"/>
        <w:rPr>
          <w:rFonts w:ascii="Arial" w:eastAsia="Arial" w:hAnsi="Arial" w:cs="Arial"/>
          <w:color w:val="000000"/>
          <w:lang w:eastAsia="pl-PL"/>
        </w:rPr>
      </w:pPr>
      <w:r w:rsidRPr="008659DB">
        <w:rPr>
          <w:rFonts w:ascii="Arial" w:eastAsia="Arial" w:hAnsi="Arial" w:cs="Arial"/>
          <w:color w:val="000000"/>
          <w:lang w:eastAsia="pl-PL"/>
        </w:rPr>
        <w:t xml:space="preserve">Warunkiem wprowadzenia zmian do zawartej Umowy, o których mowa w </w:t>
      </w:r>
      <w:r w:rsidR="002A538C" w:rsidRPr="008659DB">
        <w:rPr>
          <w:rFonts w:ascii="Arial" w:eastAsia="Arial" w:hAnsi="Arial" w:cs="Arial"/>
          <w:color w:val="000000"/>
          <w:lang w:eastAsia="pl-PL"/>
        </w:rPr>
        <w:t>pkt 4.6</w:t>
      </w:r>
      <w:r w:rsidR="0079390B" w:rsidRPr="008659DB">
        <w:rPr>
          <w:rFonts w:ascii="Arial" w:eastAsia="Arial" w:hAnsi="Arial" w:cs="Arial"/>
          <w:color w:val="000000"/>
          <w:lang w:eastAsia="pl-PL"/>
        </w:rPr>
        <w:t>.1.</w:t>
      </w:r>
      <w:r w:rsidRPr="008659DB">
        <w:rPr>
          <w:rFonts w:ascii="Arial" w:eastAsia="Arial" w:hAnsi="Arial" w:cs="Arial"/>
          <w:color w:val="000000"/>
          <w:lang w:eastAsia="pl-PL"/>
        </w:rPr>
        <w:t xml:space="preserve"> lit. b-d, jest </w:t>
      </w:r>
      <w:r w:rsidR="00067022" w:rsidRPr="008659DB">
        <w:rPr>
          <w:rFonts w:ascii="Arial" w:eastAsia="Arial" w:hAnsi="Arial" w:cs="Arial"/>
          <w:color w:val="000000"/>
          <w:lang w:eastAsia="pl-PL"/>
        </w:rPr>
        <w:t>sporządzenie podpisanego przez S</w:t>
      </w:r>
      <w:r w:rsidRPr="008659DB">
        <w:rPr>
          <w:rFonts w:ascii="Arial" w:eastAsia="Arial" w:hAnsi="Arial" w:cs="Arial"/>
          <w:color w:val="000000"/>
          <w:lang w:eastAsia="pl-PL"/>
        </w:rPr>
        <w:t xml:space="preserve">trony </w:t>
      </w:r>
      <w:r w:rsidR="00C2058E" w:rsidRPr="008659DB">
        <w:rPr>
          <w:rFonts w:ascii="Arial" w:eastAsia="Arial" w:hAnsi="Arial" w:cs="Arial"/>
          <w:color w:val="000000"/>
          <w:lang w:eastAsia="pl-PL"/>
        </w:rPr>
        <w:t>aneksu do Umowy</w:t>
      </w:r>
      <w:r w:rsidR="00D0577C" w:rsidRPr="008659DB">
        <w:rPr>
          <w:rFonts w:ascii="Arial" w:eastAsia="Arial" w:hAnsi="Arial" w:cs="Arial"/>
          <w:color w:val="000000"/>
          <w:lang w:eastAsia="pl-PL"/>
        </w:rPr>
        <w:t xml:space="preserve">, </w:t>
      </w:r>
      <w:r w:rsidRPr="008659DB">
        <w:rPr>
          <w:rFonts w:ascii="Arial" w:eastAsia="Arial" w:hAnsi="Arial" w:cs="Arial"/>
          <w:color w:val="000000"/>
          <w:lang w:eastAsia="pl-PL"/>
        </w:rPr>
        <w:t>określającego przyczyny zmiany oraz potwierdzającego wystąpienie okoliczności wymienionych w</w:t>
      </w:r>
      <w:r w:rsidR="0079390B" w:rsidRPr="008659DB">
        <w:rPr>
          <w:rFonts w:ascii="Arial" w:eastAsia="Arial" w:hAnsi="Arial" w:cs="Arial"/>
          <w:color w:val="000000"/>
          <w:lang w:eastAsia="pl-PL"/>
        </w:rPr>
        <w:t xml:space="preserve"> tych punktach</w:t>
      </w:r>
      <w:r w:rsidRPr="008659DB">
        <w:rPr>
          <w:rFonts w:ascii="Arial" w:eastAsia="Arial" w:hAnsi="Arial" w:cs="Arial"/>
          <w:color w:val="000000"/>
          <w:lang w:eastAsia="pl-PL"/>
        </w:rPr>
        <w:t xml:space="preserve">. </w:t>
      </w:r>
      <w:r w:rsidR="009A3563" w:rsidRPr="008659DB">
        <w:rPr>
          <w:rFonts w:ascii="Arial" w:eastAsia="Arial" w:hAnsi="Arial" w:cs="Arial"/>
          <w:color w:val="000000"/>
          <w:lang w:eastAsia="pl-PL"/>
        </w:rPr>
        <w:t>Zmiana będzie odnosiła się do części Przedmiotu Umowy, do której zastosowanie znajdzie zmiana i będzie obowiązywał</w:t>
      </w:r>
      <w:r w:rsidR="008C789B" w:rsidRPr="008659DB">
        <w:rPr>
          <w:rFonts w:ascii="Arial" w:eastAsia="Arial" w:hAnsi="Arial" w:cs="Arial"/>
          <w:color w:val="000000"/>
          <w:lang w:eastAsia="pl-PL"/>
        </w:rPr>
        <w:t>a</w:t>
      </w:r>
      <w:r w:rsidR="009A3563" w:rsidRPr="008659DB">
        <w:rPr>
          <w:rFonts w:ascii="Arial" w:eastAsia="Arial" w:hAnsi="Arial" w:cs="Arial"/>
          <w:color w:val="000000"/>
          <w:lang w:eastAsia="pl-PL"/>
        </w:rPr>
        <w:t xml:space="preserve"> nie wcześniej niż od dnia </w:t>
      </w:r>
      <w:r w:rsidR="008C789B" w:rsidRPr="008659DB">
        <w:rPr>
          <w:rFonts w:ascii="Arial" w:eastAsia="Arial" w:hAnsi="Arial" w:cs="Arial"/>
          <w:color w:val="000000"/>
          <w:lang w:eastAsia="pl-PL"/>
        </w:rPr>
        <w:t xml:space="preserve">podpisania </w:t>
      </w:r>
      <w:r w:rsidR="009A3563" w:rsidRPr="008659DB">
        <w:rPr>
          <w:rFonts w:ascii="Arial" w:eastAsia="Arial" w:hAnsi="Arial" w:cs="Arial"/>
          <w:color w:val="000000"/>
          <w:lang w:eastAsia="pl-PL"/>
        </w:rPr>
        <w:t xml:space="preserve">stosownego aneksu </w:t>
      </w:r>
      <w:r w:rsidR="008C789B" w:rsidRPr="008659DB">
        <w:rPr>
          <w:rFonts w:ascii="Arial" w:eastAsia="Arial" w:hAnsi="Arial" w:cs="Arial"/>
          <w:color w:val="000000"/>
          <w:lang w:eastAsia="pl-PL"/>
        </w:rPr>
        <w:t xml:space="preserve">do Umowy, </w:t>
      </w:r>
      <w:r w:rsidR="009A3563" w:rsidRPr="008659DB">
        <w:rPr>
          <w:rFonts w:ascii="Arial" w:eastAsia="Arial" w:hAnsi="Arial" w:cs="Arial"/>
          <w:color w:val="000000"/>
          <w:lang w:eastAsia="pl-PL"/>
        </w:rPr>
        <w:t>chyba, że Strony Umowy zadecydują inaczej.</w:t>
      </w:r>
    </w:p>
    <w:p w14:paraId="4D785CD9" w14:textId="78EA4663" w:rsidR="001C5161" w:rsidRPr="008659DB" w:rsidRDefault="001C5161" w:rsidP="00067022">
      <w:pPr>
        <w:pStyle w:val="Akapitzlist"/>
        <w:numPr>
          <w:ilvl w:val="2"/>
          <w:numId w:val="1"/>
        </w:numPr>
        <w:spacing w:after="124" w:line="240" w:lineRule="auto"/>
        <w:jc w:val="both"/>
        <w:rPr>
          <w:rFonts w:ascii="Arial" w:eastAsia="Arial" w:hAnsi="Arial" w:cs="Arial"/>
          <w:color w:val="000000"/>
          <w:lang w:eastAsia="pl-PL"/>
        </w:rPr>
      </w:pPr>
      <w:r w:rsidRPr="008659DB">
        <w:rPr>
          <w:rFonts w:ascii="Arial" w:eastAsia="Arial" w:hAnsi="Arial" w:cs="Arial"/>
          <w:color w:val="000000"/>
          <w:lang w:eastAsia="pl-PL"/>
        </w:rPr>
        <w:t xml:space="preserve">W przypadku zmiany wysokości minimalnego wynagrodzenia za pracę, o której mowa w </w:t>
      </w:r>
      <w:r w:rsidR="006A6BC6" w:rsidRPr="008659DB">
        <w:rPr>
          <w:rFonts w:ascii="Arial" w:eastAsia="Arial" w:hAnsi="Arial" w:cs="Arial"/>
          <w:color w:val="000000"/>
          <w:lang w:eastAsia="pl-PL"/>
        </w:rPr>
        <w:t>pkt 4.6</w:t>
      </w:r>
      <w:r w:rsidR="0079390B" w:rsidRPr="008659DB">
        <w:rPr>
          <w:rFonts w:ascii="Arial" w:eastAsia="Arial" w:hAnsi="Arial" w:cs="Arial"/>
          <w:color w:val="000000"/>
          <w:lang w:eastAsia="pl-PL"/>
        </w:rPr>
        <w:t>.1.</w:t>
      </w:r>
      <w:r w:rsidRPr="008659DB">
        <w:rPr>
          <w:rFonts w:ascii="Arial" w:eastAsia="Arial" w:hAnsi="Arial" w:cs="Arial"/>
          <w:color w:val="000000"/>
          <w:lang w:eastAsia="pl-PL"/>
        </w:rPr>
        <w:t xml:space="preserve"> lit. b, wynagrodzenie </w:t>
      </w:r>
      <w:r w:rsidR="002F56F6" w:rsidRPr="008659DB">
        <w:rPr>
          <w:rFonts w:ascii="Arial" w:eastAsia="Arial" w:hAnsi="Arial" w:cs="Arial"/>
          <w:color w:val="000000"/>
          <w:lang w:eastAsia="pl-PL"/>
        </w:rPr>
        <w:t>Operatora</w:t>
      </w:r>
      <w:r w:rsidRPr="008659DB">
        <w:rPr>
          <w:rFonts w:ascii="Arial" w:eastAsia="Arial" w:hAnsi="Arial" w:cs="Arial"/>
          <w:color w:val="000000"/>
          <w:lang w:eastAsia="pl-PL"/>
        </w:rPr>
        <w:t xml:space="preserve"> ulegnie zmianie o kwotę odpowiadającą wzrostowi kosztu </w:t>
      </w:r>
      <w:r w:rsidR="002F56F6" w:rsidRPr="008659DB">
        <w:rPr>
          <w:rFonts w:ascii="Arial" w:eastAsia="Arial" w:hAnsi="Arial" w:cs="Arial"/>
          <w:color w:val="000000"/>
          <w:lang w:eastAsia="pl-PL"/>
        </w:rPr>
        <w:t>Operatora</w:t>
      </w:r>
      <w:r w:rsidRPr="008659DB">
        <w:rPr>
          <w:rFonts w:ascii="Arial" w:eastAsia="Arial" w:hAnsi="Arial" w:cs="Arial"/>
          <w:color w:val="000000"/>
          <w:lang w:eastAsia="pl-PL"/>
        </w:rPr>
        <w:t xml:space="preserve"> w związku ze zwiększeniem wysokości wynagrodzeń pracowników wykonujących </w:t>
      </w:r>
      <w:r w:rsidR="006A6BC6" w:rsidRPr="008659DB">
        <w:rPr>
          <w:rFonts w:ascii="Arial" w:eastAsia="Arial" w:hAnsi="Arial" w:cs="Arial"/>
          <w:color w:val="000000"/>
          <w:lang w:eastAsia="pl-PL"/>
        </w:rPr>
        <w:t>Umowę na podstawie minimalnego wynagrodzenia za pracę</w:t>
      </w:r>
      <w:r w:rsidR="00FF7270" w:rsidRPr="008659DB">
        <w:rPr>
          <w:rFonts w:ascii="Arial" w:eastAsia="Arial" w:hAnsi="Arial" w:cs="Arial"/>
          <w:color w:val="000000"/>
          <w:lang w:eastAsia="pl-PL"/>
        </w:rPr>
        <w:t xml:space="preserve"> lub minimalnej stawki godzinowej</w:t>
      </w:r>
      <w:r w:rsidRPr="008659DB">
        <w:rPr>
          <w:rFonts w:ascii="Arial" w:eastAsia="Arial" w:hAnsi="Arial" w:cs="Arial"/>
          <w:color w:val="000000"/>
          <w:lang w:eastAsia="pl-PL"/>
        </w:rPr>
        <w:t>, do wysokości aktualnie obowiązującego minimalnego wynagrodzenia za pracę</w:t>
      </w:r>
      <w:r w:rsidR="00FF7270" w:rsidRPr="008659DB">
        <w:rPr>
          <w:rFonts w:ascii="Arial" w:eastAsia="Arial" w:hAnsi="Arial" w:cs="Arial"/>
          <w:color w:val="000000"/>
          <w:lang w:eastAsia="pl-PL"/>
        </w:rPr>
        <w:t xml:space="preserve"> lub zważając na minimalną stawkę godzinową</w:t>
      </w:r>
      <w:r w:rsidRPr="008659DB">
        <w:rPr>
          <w:rFonts w:ascii="Arial" w:eastAsia="Arial" w:hAnsi="Arial" w:cs="Arial"/>
          <w:color w:val="000000"/>
          <w:lang w:eastAsia="pl-PL"/>
        </w:rPr>
        <w:t>, z uwzględnieniem wszystkich obciążeń publicznoprawnych od kwoty wzrostu minimalnego wynagrodzenia</w:t>
      </w:r>
      <w:r w:rsidR="00FF7270" w:rsidRPr="008659DB">
        <w:rPr>
          <w:rFonts w:ascii="Arial" w:eastAsia="Arial" w:hAnsi="Arial" w:cs="Arial"/>
          <w:color w:val="000000"/>
          <w:lang w:eastAsia="pl-PL"/>
        </w:rPr>
        <w:t xml:space="preserve"> lub minimalnej stawki godzinowej</w:t>
      </w:r>
      <w:r w:rsidRPr="008659DB">
        <w:rPr>
          <w:rFonts w:ascii="Arial" w:eastAsia="Arial" w:hAnsi="Arial" w:cs="Arial"/>
          <w:color w:val="000000"/>
          <w:lang w:eastAsia="pl-PL"/>
        </w:rPr>
        <w:t xml:space="preserve">. Kwota </w:t>
      </w:r>
      <w:r w:rsidR="006A6BC6" w:rsidRPr="008659DB">
        <w:rPr>
          <w:rFonts w:ascii="Arial" w:eastAsia="Arial" w:hAnsi="Arial" w:cs="Arial"/>
          <w:color w:val="000000"/>
          <w:lang w:eastAsia="pl-PL"/>
        </w:rPr>
        <w:t>odpowiadająca wzrostowi kosztu Operatora</w:t>
      </w:r>
      <w:r w:rsidRPr="008659DB">
        <w:rPr>
          <w:rFonts w:ascii="Arial" w:eastAsia="Arial" w:hAnsi="Arial" w:cs="Arial"/>
          <w:color w:val="000000"/>
          <w:lang w:eastAsia="pl-PL"/>
        </w:rPr>
        <w:t xml:space="preserve"> będzie odnosić się wyłącznie do części wynagrodzenia pracowników, o których mowa w zdaniu poprzedzającym, odpowiadającej zakresowi, w jakim wykonują oni prace związane z realizacją Umowy.</w:t>
      </w:r>
    </w:p>
    <w:p w14:paraId="1D8EDB15" w14:textId="65EE6E9C" w:rsidR="001C5161" w:rsidRPr="008659DB" w:rsidRDefault="001C5161" w:rsidP="00067022">
      <w:pPr>
        <w:pStyle w:val="Akapitzlist"/>
        <w:numPr>
          <w:ilvl w:val="2"/>
          <w:numId w:val="1"/>
        </w:numPr>
        <w:spacing w:after="124" w:line="240" w:lineRule="auto"/>
        <w:jc w:val="both"/>
        <w:rPr>
          <w:rFonts w:ascii="Arial" w:eastAsia="Arial" w:hAnsi="Arial" w:cs="Arial"/>
          <w:color w:val="000000"/>
          <w:lang w:eastAsia="pl-PL"/>
        </w:rPr>
      </w:pPr>
      <w:r w:rsidRPr="008659DB">
        <w:rPr>
          <w:rFonts w:ascii="Arial" w:eastAsia="Arial" w:hAnsi="Arial" w:cs="Arial"/>
          <w:color w:val="000000"/>
          <w:lang w:eastAsia="pl-PL"/>
        </w:rPr>
        <w:t xml:space="preserve">W przypadku zmiany, o której mowa w </w:t>
      </w:r>
      <w:r w:rsidR="002A538C" w:rsidRPr="008659DB">
        <w:rPr>
          <w:rFonts w:ascii="Arial" w:eastAsia="Arial" w:hAnsi="Arial" w:cs="Arial"/>
          <w:color w:val="000000"/>
          <w:lang w:eastAsia="pl-PL"/>
        </w:rPr>
        <w:t>pkt 4.6</w:t>
      </w:r>
      <w:r w:rsidR="0079390B" w:rsidRPr="008659DB">
        <w:rPr>
          <w:rFonts w:ascii="Arial" w:eastAsia="Arial" w:hAnsi="Arial" w:cs="Arial"/>
          <w:color w:val="000000"/>
          <w:lang w:eastAsia="pl-PL"/>
        </w:rPr>
        <w:t>.1.</w:t>
      </w:r>
      <w:r w:rsidRPr="008659DB">
        <w:rPr>
          <w:rFonts w:ascii="Arial" w:eastAsia="Arial" w:hAnsi="Arial" w:cs="Arial"/>
          <w:color w:val="000000"/>
          <w:lang w:eastAsia="pl-PL"/>
        </w:rPr>
        <w:t xml:space="preserve"> lit. c, </w:t>
      </w:r>
      <w:r w:rsidR="002F56F6" w:rsidRPr="008659DB">
        <w:rPr>
          <w:rFonts w:ascii="Arial" w:eastAsia="Arial" w:hAnsi="Arial" w:cs="Arial"/>
          <w:color w:val="000000"/>
          <w:lang w:eastAsia="pl-PL"/>
        </w:rPr>
        <w:t>Rekompensata Kosztów Operatora</w:t>
      </w:r>
      <w:r w:rsidRPr="008659DB">
        <w:rPr>
          <w:rFonts w:ascii="Arial" w:eastAsia="Arial" w:hAnsi="Arial" w:cs="Arial"/>
          <w:color w:val="000000"/>
          <w:lang w:eastAsia="pl-PL"/>
        </w:rPr>
        <w:t xml:space="preserve"> ulegnie zmianie o kwot</w:t>
      </w:r>
      <w:r w:rsidR="002F56F6" w:rsidRPr="008659DB">
        <w:rPr>
          <w:rFonts w:ascii="Arial" w:eastAsia="Arial" w:hAnsi="Arial" w:cs="Arial"/>
          <w:color w:val="000000"/>
          <w:lang w:eastAsia="pl-PL"/>
        </w:rPr>
        <w:t>ę odpowiadającą zmianie kosztu Operatora</w:t>
      </w:r>
      <w:r w:rsidRPr="008659DB">
        <w:rPr>
          <w:rFonts w:ascii="Arial" w:eastAsia="Arial" w:hAnsi="Arial" w:cs="Arial"/>
          <w:color w:val="000000"/>
          <w:lang w:eastAsia="pl-PL"/>
        </w:rPr>
        <w:t xml:space="preserve"> ponoszonego w związku z wypłatą wynagro</w:t>
      </w:r>
      <w:r w:rsidR="00067022" w:rsidRPr="008659DB">
        <w:rPr>
          <w:rFonts w:ascii="Arial" w:eastAsia="Arial" w:hAnsi="Arial" w:cs="Arial"/>
          <w:color w:val="000000"/>
          <w:lang w:eastAsia="pl-PL"/>
        </w:rPr>
        <w:t>dzenia pracownikom wykonującym usługi objęte Umową</w:t>
      </w:r>
      <w:r w:rsidRPr="008659DB">
        <w:rPr>
          <w:rFonts w:ascii="Arial" w:eastAsia="Arial" w:hAnsi="Arial" w:cs="Arial"/>
          <w:color w:val="000000"/>
          <w:lang w:eastAsia="pl-PL"/>
        </w:rPr>
        <w:t xml:space="preserve">. Kwota odpowiadająca zmianie kosztu </w:t>
      </w:r>
      <w:r w:rsidR="002F56F6" w:rsidRPr="008659DB">
        <w:rPr>
          <w:rFonts w:ascii="Arial" w:eastAsia="Arial" w:hAnsi="Arial" w:cs="Arial"/>
          <w:color w:val="000000"/>
          <w:lang w:eastAsia="pl-PL"/>
        </w:rPr>
        <w:t>Operatora</w:t>
      </w:r>
      <w:r w:rsidRPr="008659DB">
        <w:rPr>
          <w:rFonts w:ascii="Arial" w:eastAsia="Arial" w:hAnsi="Arial" w:cs="Arial"/>
          <w:color w:val="000000"/>
          <w:lang w:eastAsia="pl-PL"/>
        </w:rPr>
        <w:t xml:space="preserve"> będzie odnosić się wyłącznie do części wynagrodzenia pracowników odpowiadającej zakreso</w:t>
      </w:r>
      <w:r w:rsidR="00067022" w:rsidRPr="008659DB">
        <w:rPr>
          <w:rFonts w:ascii="Arial" w:eastAsia="Arial" w:hAnsi="Arial" w:cs="Arial"/>
          <w:color w:val="000000"/>
          <w:lang w:eastAsia="pl-PL"/>
        </w:rPr>
        <w:t xml:space="preserve">wi, w jakim wykonują oni prace </w:t>
      </w:r>
      <w:r w:rsidR="002F56F6" w:rsidRPr="008659DB">
        <w:rPr>
          <w:rFonts w:ascii="Arial" w:eastAsia="Arial" w:hAnsi="Arial" w:cs="Arial"/>
          <w:color w:val="000000"/>
          <w:lang w:eastAsia="pl-PL"/>
        </w:rPr>
        <w:t>związane z realizacją</w:t>
      </w:r>
      <w:r w:rsidRPr="008659DB">
        <w:rPr>
          <w:rFonts w:ascii="Arial" w:eastAsia="Arial" w:hAnsi="Arial" w:cs="Arial"/>
          <w:color w:val="000000"/>
          <w:lang w:eastAsia="pl-PL"/>
        </w:rPr>
        <w:t xml:space="preserve"> Umowy.</w:t>
      </w:r>
    </w:p>
    <w:p w14:paraId="0C777DD6" w14:textId="029DEABB" w:rsidR="001C5161" w:rsidRPr="008659DB" w:rsidRDefault="001C5161" w:rsidP="00067022">
      <w:pPr>
        <w:pStyle w:val="Akapitzlist"/>
        <w:numPr>
          <w:ilvl w:val="2"/>
          <w:numId w:val="1"/>
        </w:numPr>
        <w:spacing w:after="124" w:line="240" w:lineRule="auto"/>
        <w:jc w:val="both"/>
        <w:rPr>
          <w:rFonts w:ascii="Arial" w:eastAsia="Arial" w:hAnsi="Arial" w:cs="Arial"/>
          <w:color w:val="000000"/>
          <w:lang w:eastAsia="pl-PL"/>
        </w:rPr>
      </w:pPr>
      <w:r w:rsidRPr="008659DB">
        <w:rPr>
          <w:rFonts w:ascii="Arial" w:eastAsia="Arial" w:hAnsi="Arial" w:cs="Arial"/>
          <w:color w:val="000000"/>
          <w:lang w:eastAsia="pl-PL"/>
        </w:rPr>
        <w:t xml:space="preserve">Jeżeli z wnioskiem o dokonanie zmian, o których mowa w </w:t>
      </w:r>
      <w:r w:rsidR="00067022" w:rsidRPr="008659DB">
        <w:rPr>
          <w:rFonts w:ascii="Arial" w:eastAsia="Arial" w:hAnsi="Arial" w:cs="Arial"/>
          <w:color w:val="000000"/>
          <w:lang w:eastAsia="pl-PL"/>
        </w:rPr>
        <w:t>pkt 4.6</w:t>
      </w:r>
      <w:r w:rsidR="0079390B" w:rsidRPr="008659DB">
        <w:rPr>
          <w:rFonts w:ascii="Arial" w:eastAsia="Arial" w:hAnsi="Arial" w:cs="Arial"/>
          <w:color w:val="000000"/>
          <w:lang w:eastAsia="pl-PL"/>
        </w:rPr>
        <w:t>.1.</w:t>
      </w:r>
      <w:r w:rsidRPr="008659DB">
        <w:rPr>
          <w:rFonts w:ascii="Arial" w:eastAsia="Arial" w:hAnsi="Arial" w:cs="Arial"/>
          <w:color w:val="000000"/>
          <w:lang w:eastAsia="pl-PL"/>
        </w:rPr>
        <w:t xml:space="preserve"> lit. b lub c, występuje </w:t>
      </w:r>
      <w:r w:rsidR="00067022" w:rsidRPr="008659DB">
        <w:rPr>
          <w:rFonts w:ascii="Arial" w:eastAsia="Arial" w:hAnsi="Arial" w:cs="Arial"/>
          <w:color w:val="000000"/>
          <w:lang w:eastAsia="pl-PL"/>
        </w:rPr>
        <w:t>Operator</w:t>
      </w:r>
      <w:r w:rsidRPr="008659DB">
        <w:rPr>
          <w:rFonts w:ascii="Arial" w:eastAsia="Arial" w:hAnsi="Arial" w:cs="Arial"/>
          <w:color w:val="000000"/>
          <w:lang w:eastAsia="pl-PL"/>
        </w:rPr>
        <w:t xml:space="preserve"> jest on zobowiązany dołączyć do wniosku dokumenty, z których będzie wynikać, w jakim zakresie zmiany te mają wpływ na koszty wykonania Umowy, w szczególności: </w:t>
      </w:r>
    </w:p>
    <w:p w14:paraId="5F233FF9" w14:textId="5FA98456" w:rsidR="001C5161" w:rsidRPr="008659DB" w:rsidRDefault="001C5161" w:rsidP="001C5161">
      <w:pPr>
        <w:numPr>
          <w:ilvl w:val="4"/>
          <w:numId w:val="4"/>
        </w:numPr>
        <w:spacing w:after="124" w:line="240" w:lineRule="auto"/>
        <w:contextualSpacing/>
        <w:jc w:val="both"/>
        <w:rPr>
          <w:rFonts w:ascii="Arial" w:eastAsia="Arial" w:hAnsi="Arial" w:cs="Arial"/>
          <w:color w:val="000000"/>
          <w:lang w:eastAsia="pl-PL"/>
        </w:rPr>
      </w:pPr>
      <w:r w:rsidRPr="008659DB">
        <w:rPr>
          <w:rFonts w:ascii="Arial" w:eastAsia="Arial" w:hAnsi="Arial" w:cs="Arial"/>
          <w:color w:val="000000"/>
          <w:lang w:eastAsia="pl-PL"/>
        </w:rPr>
        <w:t xml:space="preserve">pisemne zestawienie wynagrodzeń (zarówno przed, jak i po zmianie) pracowników wykonujących </w:t>
      </w:r>
      <w:r w:rsidR="00067022" w:rsidRPr="008659DB">
        <w:rPr>
          <w:rFonts w:ascii="Arial" w:eastAsia="Arial" w:hAnsi="Arial" w:cs="Arial"/>
          <w:color w:val="000000"/>
          <w:lang w:eastAsia="pl-PL"/>
        </w:rPr>
        <w:t>usługi objęte Umową</w:t>
      </w:r>
      <w:r w:rsidRPr="008659DB">
        <w:rPr>
          <w:rFonts w:ascii="Arial" w:eastAsia="Arial" w:hAnsi="Arial" w:cs="Arial"/>
          <w:color w:val="000000"/>
          <w:lang w:eastAsia="pl-PL"/>
        </w:rPr>
        <w:t xml:space="preserve"> wraz z określeniem zakresu (części etatu), w jakim wykonują oni prace bezpośrednio związane z realizacją Umowy oraz części wynagrodzenia odpowiadającej temu zakresowi - w przypadku zmiany, o której mowa w </w:t>
      </w:r>
      <w:r w:rsidR="00067022" w:rsidRPr="008659DB">
        <w:rPr>
          <w:rFonts w:ascii="Arial" w:eastAsia="Arial" w:hAnsi="Arial" w:cs="Arial"/>
          <w:color w:val="000000"/>
          <w:lang w:eastAsia="pl-PL"/>
        </w:rPr>
        <w:t>pkt 4.6</w:t>
      </w:r>
      <w:r w:rsidR="0079390B" w:rsidRPr="008659DB">
        <w:rPr>
          <w:rFonts w:ascii="Arial" w:eastAsia="Arial" w:hAnsi="Arial" w:cs="Arial"/>
          <w:color w:val="000000"/>
          <w:lang w:eastAsia="pl-PL"/>
        </w:rPr>
        <w:t>.1.</w:t>
      </w:r>
      <w:r w:rsidRPr="008659DB">
        <w:rPr>
          <w:rFonts w:ascii="Arial" w:eastAsia="Arial" w:hAnsi="Arial" w:cs="Arial"/>
          <w:color w:val="000000"/>
          <w:lang w:eastAsia="pl-PL"/>
        </w:rPr>
        <w:t xml:space="preserve"> lit. b,</w:t>
      </w:r>
    </w:p>
    <w:p w14:paraId="665A2D5D" w14:textId="3C4C8119" w:rsidR="001C5161" w:rsidRPr="008659DB" w:rsidRDefault="001C5161" w:rsidP="001C5161">
      <w:pPr>
        <w:numPr>
          <w:ilvl w:val="4"/>
          <w:numId w:val="4"/>
        </w:numPr>
        <w:spacing w:after="124" w:line="240" w:lineRule="auto"/>
        <w:contextualSpacing/>
        <w:jc w:val="both"/>
        <w:rPr>
          <w:rFonts w:ascii="Arial" w:eastAsia="Arial" w:hAnsi="Arial" w:cs="Arial"/>
          <w:lang w:eastAsia="pl-PL"/>
        </w:rPr>
      </w:pPr>
      <w:r w:rsidRPr="008659DB">
        <w:rPr>
          <w:rFonts w:ascii="Arial" w:eastAsia="Arial" w:hAnsi="Arial" w:cs="Arial"/>
          <w:color w:val="000000"/>
          <w:lang w:eastAsia="pl-PL"/>
        </w:rPr>
        <w:t xml:space="preserve">w przypadku zmiany, o której mowa w </w:t>
      </w:r>
      <w:r w:rsidR="00067022" w:rsidRPr="008659DB">
        <w:rPr>
          <w:rFonts w:ascii="Arial" w:eastAsia="Arial" w:hAnsi="Arial" w:cs="Arial"/>
          <w:color w:val="000000"/>
          <w:lang w:eastAsia="pl-PL"/>
        </w:rPr>
        <w:t>pkt 4.6</w:t>
      </w:r>
      <w:r w:rsidR="0079390B" w:rsidRPr="008659DB">
        <w:rPr>
          <w:rFonts w:ascii="Arial" w:eastAsia="Arial" w:hAnsi="Arial" w:cs="Arial"/>
          <w:color w:val="000000"/>
          <w:lang w:eastAsia="pl-PL"/>
        </w:rPr>
        <w:t>.1.</w:t>
      </w:r>
      <w:r w:rsidRPr="008659DB">
        <w:rPr>
          <w:rFonts w:ascii="Arial" w:eastAsia="Arial" w:hAnsi="Arial" w:cs="Arial"/>
          <w:color w:val="000000"/>
          <w:lang w:eastAsia="pl-PL"/>
        </w:rPr>
        <w:t xml:space="preserve"> lit. c, pisemne zestawienie wynagrodzeń (zarówno przed, jak i po zmianie) pracowników realizujących zamówienie wraz z kwotami składek uiszczanych do Zakładu Ubezpieczeń Społecznych/Kasy Rolniczego Ubezpieczenia Społecznego w części finansowanej przez </w:t>
      </w:r>
      <w:r w:rsidR="00211B46" w:rsidRPr="008659DB">
        <w:rPr>
          <w:rFonts w:ascii="Arial" w:eastAsia="Arial" w:hAnsi="Arial" w:cs="Arial"/>
          <w:color w:val="000000"/>
          <w:lang w:eastAsia="pl-PL"/>
        </w:rPr>
        <w:t>Operatora</w:t>
      </w:r>
      <w:r w:rsidRPr="008659DB">
        <w:rPr>
          <w:rFonts w:ascii="Arial" w:eastAsia="Arial" w:hAnsi="Arial" w:cs="Arial"/>
          <w:color w:val="000000"/>
          <w:lang w:eastAsia="pl-PL"/>
        </w:rPr>
        <w:t xml:space="preserve">, z określeniem zakresu (części etatu), w jakim wykonują oni prace bezpośrednio związane z realizacją Przedmiotu Umowy oraz części wynagrodzenia odpowiadającej temu </w:t>
      </w:r>
      <w:r w:rsidRPr="008659DB">
        <w:rPr>
          <w:rFonts w:ascii="Arial" w:eastAsia="Arial" w:hAnsi="Arial" w:cs="Arial"/>
          <w:lang w:eastAsia="pl-PL"/>
        </w:rPr>
        <w:t>zakresowi.</w:t>
      </w:r>
    </w:p>
    <w:p w14:paraId="2E3CCAEB" w14:textId="5AE7D8B8" w:rsidR="00E20D85" w:rsidRPr="008659DB" w:rsidRDefault="00E20D85" w:rsidP="00211B46">
      <w:pPr>
        <w:pStyle w:val="Akapitzlist"/>
        <w:numPr>
          <w:ilvl w:val="2"/>
          <w:numId w:val="1"/>
        </w:numPr>
        <w:spacing w:after="124" w:line="240" w:lineRule="auto"/>
        <w:jc w:val="both"/>
        <w:rPr>
          <w:rFonts w:ascii="Arial" w:eastAsia="Arial" w:hAnsi="Arial" w:cs="Arial"/>
          <w:color w:val="000000"/>
          <w:lang w:eastAsia="pl-PL"/>
        </w:rPr>
      </w:pPr>
      <w:r w:rsidRPr="008659DB">
        <w:rPr>
          <w:rFonts w:ascii="Arial" w:eastAsia="Arial" w:hAnsi="Arial" w:cs="Arial"/>
          <w:lang w:eastAsia="pl-PL"/>
        </w:rPr>
        <w:t xml:space="preserve">Zmiana wysokości Rekompensaty Kosztów w przypadku zmiany, o której mowa w pkt 4.6.1. lit. d zostanie dokonana analogicznie jak </w:t>
      </w:r>
      <w:r w:rsidRPr="008659DB">
        <w:rPr>
          <w:rFonts w:ascii="Arial" w:eastAsia="Arial" w:hAnsi="Arial" w:cs="Arial"/>
          <w:color w:val="000000"/>
          <w:lang w:eastAsia="pl-PL"/>
        </w:rPr>
        <w:t>określono w pkt 4.6.2 – 4.6.6.</w:t>
      </w:r>
    </w:p>
    <w:p w14:paraId="2C8B36EE" w14:textId="0F327854" w:rsidR="001C5161" w:rsidRPr="008659DB" w:rsidRDefault="001C5161" w:rsidP="00211B46">
      <w:pPr>
        <w:pStyle w:val="Akapitzlist"/>
        <w:numPr>
          <w:ilvl w:val="2"/>
          <w:numId w:val="1"/>
        </w:numPr>
        <w:spacing w:after="124" w:line="240" w:lineRule="auto"/>
        <w:jc w:val="both"/>
        <w:rPr>
          <w:rFonts w:ascii="Arial" w:eastAsia="Arial" w:hAnsi="Arial" w:cs="Arial"/>
          <w:color w:val="000000"/>
          <w:lang w:eastAsia="pl-PL"/>
        </w:rPr>
      </w:pPr>
      <w:r w:rsidRPr="008659DB">
        <w:rPr>
          <w:rFonts w:ascii="Arial" w:eastAsia="Arial" w:hAnsi="Arial" w:cs="Arial"/>
          <w:color w:val="000000"/>
          <w:lang w:eastAsia="pl-PL"/>
        </w:rPr>
        <w:t xml:space="preserve">Jeżeli z wnioskiem o dokonanie zmiany, o której mowa w </w:t>
      </w:r>
      <w:r w:rsidR="00211B46" w:rsidRPr="008659DB">
        <w:rPr>
          <w:rFonts w:ascii="Arial" w:eastAsia="Arial" w:hAnsi="Arial" w:cs="Arial"/>
          <w:color w:val="000000"/>
          <w:lang w:eastAsia="pl-PL"/>
        </w:rPr>
        <w:t>pkt 4.6.1.</w:t>
      </w:r>
      <w:r w:rsidRPr="008659DB">
        <w:rPr>
          <w:rFonts w:ascii="Arial" w:eastAsia="Arial" w:hAnsi="Arial" w:cs="Arial"/>
          <w:color w:val="000000"/>
          <w:lang w:eastAsia="pl-PL"/>
        </w:rPr>
        <w:t xml:space="preserve"> wystąpi </w:t>
      </w:r>
      <w:r w:rsidR="0079390B" w:rsidRPr="008659DB">
        <w:rPr>
          <w:rFonts w:ascii="Arial" w:eastAsia="Arial" w:hAnsi="Arial" w:cs="Arial"/>
          <w:color w:val="000000"/>
          <w:lang w:eastAsia="pl-PL"/>
        </w:rPr>
        <w:t>Organizator</w:t>
      </w:r>
      <w:r w:rsidRPr="008659DB">
        <w:rPr>
          <w:rFonts w:ascii="Arial" w:eastAsia="Arial" w:hAnsi="Arial" w:cs="Arial"/>
          <w:color w:val="000000"/>
          <w:lang w:eastAsia="pl-PL"/>
        </w:rPr>
        <w:t xml:space="preserve">, </w:t>
      </w:r>
      <w:r w:rsidR="0079390B" w:rsidRPr="008659DB">
        <w:rPr>
          <w:rFonts w:ascii="Arial" w:eastAsia="Arial" w:hAnsi="Arial" w:cs="Arial"/>
          <w:color w:val="000000"/>
          <w:lang w:eastAsia="pl-PL"/>
        </w:rPr>
        <w:t>Operator</w:t>
      </w:r>
      <w:r w:rsidR="00D73A4F">
        <w:rPr>
          <w:rFonts w:ascii="Arial" w:eastAsia="Arial" w:hAnsi="Arial" w:cs="Arial"/>
          <w:color w:val="000000"/>
          <w:lang w:eastAsia="pl-PL"/>
        </w:rPr>
        <w:t xml:space="preserve"> jest zobowiązany</w:t>
      </w:r>
      <w:r w:rsidRPr="008659DB">
        <w:rPr>
          <w:rFonts w:ascii="Arial" w:eastAsia="Arial" w:hAnsi="Arial" w:cs="Arial"/>
          <w:color w:val="000000"/>
          <w:lang w:eastAsia="pl-PL"/>
        </w:rPr>
        <w:t xml:space="preserve"> do przedstawienia w wyznaczo</w:t>
      </w:r>
      <w:r w:rsidR="00211B46" w:rsidRPr="008659DB">
        <w:rPr>
          <w:rFonts w:ascii="Arial" w:eastAsia="Arial" w:hAnsi="Arial" w:cs="Arial"/>
          <w:color w:val="000000"/>
          <w:lang w:eastAsia="pl-PL"/>
        </w:rPr>
        <w:t>nym terminie, nie krótszym niż 10</w:t>
      </w:r>
      <w:r w:rsidRPr="008659DB">
        <w:rPr>
          <w:rFonts w:ascii="Arial" w:eastAsia="Arial" w:hAnsi="Arial" w:cs="Arial"/>
          <w:color w:val="000000"/>
          <w:lang w:eastAsia="pl-PL"/>
        </w:rPr>
        <w:t xml:space="preserve"> dni roboczych, dokumentów, z których będzie wynikać w jakim zakresie zmiana ta ma wpływ na koszty wykonania Umowy, w tym pisemnego zestawienia wynagrodzeń, o którym mowa </w:t>
      </w:r>
      <w:r w:rsidR="00211B46" w:rsidRPr="008659DB">
        <w:rPr>
          <w:rFonts w:ascii="Arial" w:eastAsia="Arial" w:hAnsi="Arial" w:cs="Arial"/>
          <w:color w:val="000000"/>
          <w:lang w:eastAsia="pl-PL"/>
        </w:rPr>
        <w:t>w pkt 4.6.6</w:t>
      </w:r>
      <w:r w:rsidRPr="008659DB">
        <w:rPr>
          <w:rFonts w:ascii="Arial" w:eastAsia="Arial" w:hAnsi="Arial" w:cs="Arial"/>
          <w:color w:val="000000"/>
          <w:lang w:eastAsia="pl-PL"/>
        </w:rPr>
        <w:t>.</w:t>
      </w:r>
    </w:p>
    <w:p w14:paraId="524DA47A" w14:textId="77777777" w:rsidR="00285732" w:rsidRPr="008659DB" w:rsidRDefault="00285732" w:rsidP="008659DB">
      <w:pPr>
        <w:numPr>
          <w:ilvl w:val="0"/>
          <w:numId w:val="1"/>
        </w:numPr>
        <w:spacing w:before="120" w:after="120" w:line="240" w:lineRule="auto"/>
        <w:ind w:left="1077" w:right="6"/>
        <w:jc w:val="both"/>
        <w:rPr>
          <w:rFonts w:ascii="Arial" w:eastAsia="Arial" w:hAnsi="Arial" w:cs="Arial"/>
          <w:b/>
          <w:color w:val="000000"/>
          <w:lang w:eastAsia="pl-PL"/>
        </w:rPr>
      </w:pPr>
      <w:r w:rsidRPr="008659DB">
        <w:rPr>
          <w:rFonts w:ascii="Arial" w:eastAsia="Arial" w:hAnsi="Arial" w:cs="Arial"/>
          <w:b/>
          <w:color w:val="000000"/>
          <w:lang w:eastAsia="pl-PL"/>
        </w:rPr>
        <w:t>Rozsądny Zysk:</w:t>
      </w:r>
    </w:p>
    <w:p w14:paraId="07ABB916" w14:textId="77777777" w:rsidR="00285732" w:rsidRPr="008659DB" w:rsidRDefault="00285732" w:rsidP="00D950AF">
      <w:pPr>
        <w:numPr>
          <w:ilvl w:val="1"/>
          <w:numId w:val="1"/>
        </w:numPr>
        <w:spacing w:after="124" w:line="240" w:lineRule="auto"/>
        <w:ind w:left="567" w:right="5"/>
        <w:contextualSpacing/>
        <w:jc w:val="both"/>
        <w:rPr>
          <w:rFonts w:ascii="Arial" w:eastAsia="Arial" w:hAnsi="Arial" w:cs="Arial"/>
          <w:color w:val="000000"/>
          <w:lang w:eastAsia="pl-PL"/>
        </w:rPr>
      </w:pPr>
      <w:r w:rsidRPr="008659DB">
        <w:rPr>
          <w:rFonts w:ascii="Arial" w:eastAsia="Arial" w:hAnsi="Arial" w:cs="Arial"/>
          <w:color w:val="000000"/>
          <w:lang w:eastAsia="pl-PL"/>
        </w:rPr>
        <w:t>Operatorowi w związku ze świadczeniem usług określonych w Umowie przysługuje Rozsądny Zysk wyliczony w oparciu o stopę zwrotu ze sprzedaży.</w:t>
      </w:r>
      <w:r w:rsidR="00FD63F0" w:rsidRPr="008659DB">
        <w:rPr>
          <w:rFonts w:ascii="Arial" w:eastAsia="Arial" w:hAnsi="Arial" w:cs="Arial"/>
          <w:color w:val="000000"/>
          <w:vertAlign w:val="superscript"/>
          <w:lang w:eastAsia="pl-PL"/>
        </w:rPr>
        <w:footnoteReference w:id="1"/>
      </w:r>
    </w:p>
    <w:p w14:paraId="61E82F85" w14:textId="77777777" w:rsidR="00285732" w:rsidRPr="008659DB" w:rsidRDefault="00285732" w:rsidP="00E46092">
      <w:pPr>
        <w:numPr>
          <w:ilvl w:val="1"/>
          <w:numId w:val="1"/>
        </w:numPr>
        <w:spacing w:after="124" w:line="240" w:lineRule="auto"/>
        <w:ind w:left="851" w:right="5" w:hanging="425"/>
        <w:contextualSpacing/>
        <w:jc w:val="both"/>
        <w:rPr>
          <w:rFonts w:ascii="Arial" w:eastAsia="Arial" w:hAnsi="Arial" w:cs="Arial"/>
          <w:color w:val="000000"/>
          <w:lang w:eastAsia="pl-PL"/>
        </w:rPr>
      </w:pPr>
      <w:r w:rsidRPr="008659DB">
        <w:rPr>
          <w:rFonts w:ascii="Arial" w:eastAsia="Arial" w:hAnsi="Arial" w:cs="Arial"/>
          <w:color w:val="000000"/>
          <w:lang w:eastAsia="pl-PL"/>
        </w:rPr>
        <w:t>Rozsądny Zysk składa się z następujących części:</w:t>
      </w:r>
    </w:p>
    <w:p w14:paraId="2373F9CE" w14:textId="08A30493" w:rsidR="00285732" w:rsidRPr="008659DB" w:rsidRDefault="00285732" w:rsidP="00D950AF">
      <w:pPr>
        <w:numPr>
          <w:ilvl w:val="2"/>
          <w:numId w:val="1"/>
        </w:numPr>
        <w:spacing w:after="124" w:line="240" w:lineRule="auto"/>
        <w:ind w:left="1134" w:right="5"/>
        <w:contextualSpacing/>
        <w:jc w:val="both"/>
        <w:rPr>
          <w:rFonts w:ascii="Arial" w:eastAsia="Arial" w:hAnsi="Arial" w:cs="Arial"/>
          <w:color w:val="000000"/>
          <w:lang w:eastAsia="pl-PL"/>
        </w:rPr>
      </w:pPr>
      <w:r w:rsidRPr="008659DB">
        <w:rPr>
          <w:rFonts w:ascii="Arial" w:eastAsia="Arial" w:hAnsi="Arial" w:cs="Arial"/>
          <w:color w:val="000000"/>
          <w:lang w:eastAsia="pl-PL"/>
        </w:rPr>
        <w:t>Część obligatoryjna wyliczona jako 5 % od rzeczywistego osiągniętego poziomu Przychodów w danym Okresie Rozliczeniowym – do wysokości zaplanowanego na ten okres Przychodu Gwarantowanego;</w:t>
      </w:r>
    </w:p>
    <w:p w14:paraId="33430A4F" w14:textId="70F33F82" w:rsidR="00285732" w:rsidRPr="008659DB" w:rsidRDefault="00285732" w:rsidP="00D950AF">
      <w:pPr>
        <w:numPr>
          <w:ilvl w:val="2"/>
          <w:numId w:val="1"/>
        </w:numPr>
        <w:spacing w:after="124" w:line="240" w:lineRule="auto"/>
        <w:ind w:left="1134" w:right="5"/>
        <w:contextualSpacing/>
        <w:jc w:val="both"/>
        <w:rPr>
          <w:rFonts w:ascii="Arial" w:eastAsia="Arial" w:hAnsi="Arial" w:cs="Arial"/>
          <w:color w:val="000000"/>
          <w:lang w:eastAsia="pl-PL"/>
        </w:rPr>
      </w:pPr>
      <w:r w:rsidRPr="008659DB">
        <w:rPr>
          <w:rFonts w:ascii="Arial" w:eastAsia="Arial" w:hAnsi="Arial" w:cs="Arial"/>
          <w:color w:val="000000"/>
          <w:lang w:eastAsia="pl-PL"/>
        </w:rPr>
        <w:t xml:space="preserve">Część dodatkowa – do </w:t>
      </w:r>
      <w:r w:rsidR="003E6A31">
        <w:rPr>
          <w:rFonts w:ascii="Arial" w:eastAsia="Arial" w:hAnsi="Arial" w:cs="Arial"/>
          <w:color w:val="000000"/>
          <w:lang w:eastAsia="pl-PL"/>
        </w:rPr>
        <w:t>2</w:t>
      </w:r>
      <w:r w:rsidRPr="008659DB">
        <w:rPr>
          <w:rFonts w:ascii="Arial" w:eastAsia="Arial" w:hAnsi="Arial" w:cs="Arial"/>
          <w:color w:val="000000"/>
          <w:lang w:eastAsia="pl-PL"/>
        </w:rPr>
        <w:t xml:space="preserve">0 % od osiągniętej nadwyżki ponad Przychód Gwarantowany (Przychód Nadwyżkowy), o ile taka nadwyżka zostanie osiągnięta i jeżeli spełnione zostaną Cele Zarządcze wyznaczone Operatorowi na dany Okres Rozliczeniowy, proporcjonalnie do poziomu wykonania tych celów. Na każdy okres rozliczeniowy Organizator wyznacza Operatorowi dwa Cele Zarządcze, każdy z wagą </w:t>
      </w:r>
      <w:r w:rsidR="00047501" w:rsidRPr="008659DB">
        <w:rPr>
          <w:rFonts w:ascii="Arial" w:eastAsia="Arial" w:hAnsi="Arial" w:cs="Arial"/>
          <w:color w:val="000000"/>
          <w:lang w:eastAsia="pl-PL"/>
        </w:rPr>
        <w:t>50</w:t>
      </w:r>
      <w:r w:rsidRPr="008659DB">
        <w:rPr>
          <w:rFonts w:ascii="Arial" w:eastAsia="Arial" w:hAnsi="Arial" w:cs="Arial"/>
          <w:color w:val="000000"/>
          <w:lang w:eastAsia="pl-PL"/>
        </w:rPr>
        <w:t>%.</w:t>
      </w:r>
    </w:p>
    <w:p w14:paraId="2DEF5490" w14:textId="65E553D7" w:rsidR="00285732" w:rsidRPr="008659DB" w:rsidRDefault="00285732" w:rsidP="00285732">
      <w:pPr>
        <w:spacing w:after="124" w:line="240" w:lineRule="auto"/>
        <w:ind w:left="720"/>
        <w:jc w:val="both"/>
        <w:rPr>
          <w:rFonts w:ascii="Arial" w:eastAsia="Arial" w:hAnsi="Arial" w:cs="Arial"/>
          <w:color w:val="000000"/>
          <w:lang w:eastAsia="pl-PL"/>
        </w:rPr>
      </w:pPr>
      <w:r w:rsidRPr="008659DB">
        <w:rPr>
          <w:rFonts w:ascii="Arial" w:eastAsia="Arial" w:hAnsi="Arial" w:cs="Arial"/>
          <w:color w:val="000000"/>
          <w:lang w:eastAsia="pl-PL"/>
        </w:rPr>
        <w:t>Część dodatkową</w:t>
      </w:r>
      <w:r w:rsidR="007C706D" w:rsidRPr="008659DB">
        <w:rPr>
          <w:rFonts w:ascii="Arial" w:eastAsia="Arial" w:hAnsi="Arial" w:cs="Arial"/>
          <w:color w:val="000000"/>
          <w:lang w:eastAsia="pl-PL"/>
        </w:rPr>
        <w:t xml:space="preserve"> Rozsądnego Z</w:t>
      </w:r>
      <w:r w:rsidRPr="008659DB">
        <w:rPr>
          <w:rFonts w:ascii="Arial" w:eastAsia="Arial" w:hAnsi="Arial" w:cs="Arial"/>
          <w:color w:val="000000"/>
          <w:lang w:eastAsia="pl-PL"/>
        </w:rPr>
        <w:t xml:space="preserve">ysku należy wyliczyć według wzoru: 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  <w:tblCaption w:val="Tabela zawierająca wzór na część dodatkową rozsądnego zysku"/>
      </w:tblPr>
      <w:tblGrid>
        <w:gridCol w:w="8292"/>
      </w:tblGrid>
      <w:tr w:rsidR="00285732" w:rsidRPr="008659DB" w14:paraId="2422EE67" w14:textId="77777777" w:rsidTr="00591549">
        <w:trPr>
          <w:tblHeader/>
        </w:trPr>
        <w:tc>
          <w:tcPr>
            <w:tcW w:w="914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18BE650" w14:textId="77777777" w:rsidR="00285732" w:rsidRPr="008659DB" w:rsidRDefault="00285732" w:rsidP="00285732">
            <w:pPr>
              <w:spacing w:after="124"/>
              <w:contextualSpacing/>
              <w:jc w:val="both"/>
              <w:rPr>
                <w:rFonts w:ascii="Arial" w:eastAsia="Arial" w:hAnsi="Arial" w:cs="Arial"/>
                <w:color w:val="000000"/>
                <w:sz w:val="28"/>
                <w:szCs w:val="28"/>
                <w:lang w:eastAsia="pl-PL"/>
              </w:rPr>
            </w:pPr>
          </w:p>
          <w:p w14:paraId="7F0F6845" w14:textId="3ED862B3" w:rsidR="00285732" w:rsidRPr="008659DB" w:rsidRDefault="00285732" w:rsidP="00285732">
            <w:pPr>
              <w:spacing w:after="124"/>
              <w:contextualSpacing/>
              <w:jc w:val="center"/>
              <w:rPr>
                <w:rFonts w:ascii="Arial" w:eastAsia="Arial" w:hAnsi="Arial" w:cs="Arial"/>
                <w:b/>
                <w:color w:val="000000"/>
                <w:sz w:val="28"/>
                <w:szCs w:val="28"/>
                <w:lang w:eastAsia="pl-PL"/>
              </w:rPr>
            </w:pPr>
            <w:proofErr w:type="spellStart"/>
            <w:r w:rsidRPr="008659DB">
              <w:rPr>
                <w:rFonts w:ascii="Arial" w:eastAsia="Arial" w:hAnsi="Arial" w:cs="Arial"/>
                <w:b/>
                <w:color w:val="000000"/>
                <w:sz w:val="28"/>
                <w:szCs w:val="28"/>
                <w:lang w:eastAsia="pl-PL"/>
              </w:rPr>
              <w:t>P</w:t>
            </w:r>
            <w:r w:rsidRPr="008659DB">
              <w:rPr>
                <w:rFonts w:ascii="Arial" w:eastAsia="Arial" w:hAnsi="Arial" w:cs="Arial"/>
                <w:b/>
                <w:color w:val="000000"/>
                <w:sz w:val="28"/>
                <w:szCs w:val="28"/>
                <w:vertAlign w:val="subscript"/>
                <w:lang w:eastAsia="pl-PL"/>
              </w:rPr>
              <w:t>n</w:t>
            </w:r>
            <w:proofErr w:type="spellEnd"/>
            <w:r w:rsidRPr="008659DB">
              <w:rPr>
                <w:rFonts w:ascii="Arial" w:eastAsia="Arial" w:hAnsi="Arial" w:cs="Arial"/>
                <w:b/>
                <w:color w:val="000000"/>
                <w:sz w:val="28"/>
                <w:szCs w:val="28"/>
                <w:lang w:eastAsia="pl-PL"/>
              </w:rPr>
              <w:t xml:space="preserve"> x 0,</w:t>
            </w:r>
            <w:r w:rsidR="003E6A31">
              <w:rPr>
                <w:rFonts w:ascii="Arial" w:eastAsia="Arial" w:hAnsi="Arial" w:cs="Arial"/>
                <w:b/>
                <w:color w:val="000000"/>
                <w:sz w:val="28"/>
                <w:szCs w:val="28"/>
                <w:lang w:eastAsia="pl-PL"/>
              </w:rPr>
              <w:t>2</w:t>
            </w:r>
            <w:r w:rsidRPr="008659DB">
              <w:rPr>
                <w:rFonts w:ascii="Arial" w:eastAsia="Arial" w:hAnsi="Arial" w:cs="Arial"/>
                <w:b/>
                <w:color w:val="000000"/>
                <w:sz w:val="28"/>
                <w:szCs w:val="28"/>
                <w:vertAlign w:val="subscript"/>
                <w:lang w:eastAsia="pl-PL"/>
              </w:rPr>
              <w:t xml:space="preserve"> </w:t>
            </w:r>
            <w:r w:rsidRPr="008659DB">
              <w:rPr>
                <w:rFonts w:ascii="Arial" w:eastAsia="Arial" w:hAnsi="Arial" w:cs="Arial"/>
                <w:b/>
                <w:color w:val="000000"/>
                <w:sz w:val="28"/>
                <w:szCs w:val="28"/>
                <w:lang w:eastAsia="pl-PL"/>
              </w:rPr>
              <w:t xml:space="preserve">x </w:t>
            </w:r>
            <w:proofErr w:type="spellStart"/>
            <w:r w:rsidRPr="008659DB">
              <w:rPr>
                <w:rFonts w:ascii="Arial" w:eastAsia="Arial" w:hAnsi="Arial" w:cs="Arial"/>
                <w:b/>
                <w:color w:val="000000"/>
                <w:sz w:val="28"/>
                <w:szCs w:val="28"/>
                <w:lang w:eastAsia="pl-PL"/>
              </w:rPr>
              <w:t>CZ</w:t>
            </w:r>
            <w:r w:rsidRPr="008659DB">
              <w:rPr>
                <w:rFonts w:ascii="Arial" w:eastAsia="Arial" w:hAnsi="Arial" w:cs="Arial"/>
                <w:b/>
                <w:color w:val="000000"/>
                <w:sz w:val="28"/>
                <w:szCs w:val="28"/>
                <w:vertAlign w:val="subscript"/>
                <w:lang w:eastAsia="pl-PL"/>
              </w:rPr>
              <w:t>r</w:t>
            </w:r>
            <w:proofErr w:type="spellEnd"/>
          </w:p>
          <w:p w14:paraId="6A6C1B49" w14:textId="77777777" w:rsidR="007C706D" w:rsidRPr="008659DB" w:rsidRDefault="007C706D" w:rsidP="007C706D">
            <w:pPr>
              <w:spacing w:after="124"/>
              <w:contextualSpacing/>
              <w:jc w:val="both"/>
              <w:rPr>
                <w:rFonts w:ascii="Arial" w:eastAsia="Arial" w:hAnsi="Arial" w:cs="Arial"/>
                <w:color w:val="000000"/>
                <w:lang w:eastAsia="pl-PL"/>
              </w:rPr>
            </w:pPr>
            <w:r w:rsidRPr="008659DB">
              <w:rPr>
                <w:rFonts w:ascii="Arial" w:eastAsia="Arial" w:hAnsi="Arial" w:cs="Arial"/>
                <w:color w:val="000000"/>
                <w:lang w:eastAsia="pl-PL"/>
              </w:rPr>
              <w:t>gdzie:</w:t>
            </w:r>
          </w:p>
          <w:p w14:paraId="505FB1B6" w14:textId="0E4F4C44" w:rsidR="007C706D" w:rsidRPr="008659DB" w:rsidRDefault="007C706D" w:rsidP="007C706D">
            <w:pPr>
              <w:spacing w:after="124"/>
              <w:contextualSpacing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8659DB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>P</w:t>
            </w:r>
            <w:r w:rsidRPr="008659DB">
              <w:rPr>
                <w:rFonts w:ascii="Arial" w:eastAsia="Arial" w:hAnsi="Arial" w:cs="Arial"/>
                <w:color w:val="000000"/>
                <w:sz w:val="20"/>
                <w:szCs w:val="20"/>
                <w:vertAlign w:val="subscript"/>
                <w:lang w:eastAsia="pl-PL"/>
              </w:rPr>
              <w:t>n</w:t>
            </w:r>
            <w:proofErr w:type="spellEnd"/>
            <w:r w:rsidRPr="008659DB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 - kwota osiągniętych Przychodów ponad Przychód Gwarantowany (</w:t>
            </w:r>
            <w:r w:rsidR="000810E4" w:rsidRPr="008659DB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>P</w:t>
            </w:r>
            <w:r w:rsidRPr="008659DB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rzychód </w:t>
            </w:r>
            <w:r w:rsidR="000810E4" w:rsidRPr="008659DB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>N</w:t>
            </w:r>
            <w:r w:rsidRPr="008659DB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adwyżkowy) </w:t>
            </w:r>
          </w:p>
          <w:p w14:paraId="02316611" w14:textId="77777777" w:rsidR="007C706D" w:rsidRPr="008659DB" w:rsidRDefault="007C706D" w:rsidP="007C706D">
            <w:pPr>
              <w:spacing w:after="124"/>
              <w:contextualSpacing/>
              <w:jc w:val="both"/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8659DB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>CZ</w:t>
            </w:r>
            <w:r w:rsidRPr="008659DB">
              <w:rPr>
                <w:rFonts w:ascii="Arial" w:eastAsia="Arial" w:hAnsi="Arial" w:cs="Arial"/>
                <w:color w:val="000000"/>
                <w:sz w:val="20"/>
                <w:szCs w:val="20"/>
                <w:vertAlign w:val="subscript"/>
                <w:lang w:eastAsia="pl-PL"/>
              </w:rPr>
              <w:t>r</w:t>
            </w:r>
            <w:proofErr w:type="spellEnd"/>
            <w:r w:rsidRPr="008659DB">
              <w:rPr>
                <w:rFonts w:ascii="Arial" w:eastAsia="Arial" w:hAnsi="Arial" w:cs="Arial"/>
                <w:color w:val="000000"/>
                <w:sz w:val="20"/>
                <w:szCs w:val="20"/>
                <w:vertAlign w:val="subscript"/>
                <w:lang w:eastAsia="pl-PL"/>
              </w:rPr>
              <w:t xml:space="preserve"> </w:t>
            </w:r>
            <w:r w:rsidRPr="008659DB">
              <w:rPr>
                <w:rFonts w:ascii="Arial" w:eastAsia="Arial" w:hAnsi="Arial" w:cs="Arial"/>
                <w:color w:val="000000"/>
                <w:sz w:val="20"/>
                <w:szCs w:val="20"/>
                <w:lang w:eastAsia="pl-PL"/>
              </w:rPr>
              <w:t xml:space="preserve">- osiągnięty poziom realizacji Celów Zarządczych </w:t>
            </w:r>
          </w:p>
          <w:p w14:paraId="0D201DC6" w14:textId="77777777" w:rsidR="00285732" w:rsidRPr="008659DB" w:rsidRDefault="00285732" w:rsidP="00285732">
            <w:pPr>
              <w:spacing w:after="124"/>
              <w:contextualSpacing/>
              <w:jc w:val="both"/>
              <w:rPr>
                <w:rFonts w:ascii="Arial" w:eastAsia="Arial" w:hAnsi="Arial" w:cs="Arial"/>
                <w:color w:val="000000"/>
                <w:lang w:eastAsia="pl-PL"/>
              </w:rPr>
            </w:pPr>
          </w:p>
        </w:tc>
      </w:tr>
    </w:tbl>
    <w:p w14:paraId="3F9C10FF" w14:textId="52D4DF4E" w:rsidR="00285732" w:rsidRPr="008659DB" w:rsidRDefault="00285732" w:rsidP="00285732">
      <w:pPr>
        <w:spacing w:after="124" w:line="240" w:lineRule="auto"/>
        <w:ind w:left="360"/>
        <w:jc w:val="both"/>
        <w:rPr>
          <w:rFonts w:ascii="Arial" w:eastAsia="Arial" w:hAnsi="Arial" w:cs="Arial"/>
          <w:i/>
          <w:color w:val="000000"/>
          <w:lang w:eastAsia="pl-PL"/>
        </w:rPr>
      </w:pPr>
      <w:r w:rsidRPr="008659DB">
        <w:rPr>
          <w:rFonts w:ascii="Arial" w:eastAsia="Arial" w:hAnsi="Arial" w:cs="Arial"/>
          <w:i/>
          <w:color w:val="000000"/>
          <w:lang w:eastAsia="pl-PL"/>
        </w:rPr>
        <w:t>Przykład: Jeżeli w danym Okresie Rozliczeniowym Operator osiągnie 1 z 2 przyjętych</w:t>
      </w:r>
      <w:r w:rsidR="006A7F02" w:rsidRPr="008659DB">
        <w:rPr>
          <w:rFonts w:ascii="Arial" w:eastAsia="Arial" w:hAnsi="Arial" w:cs="Arial"/>
          <w:i/>
          <w:color w:val="000000"/>
          <w:lang w:eastAsia="pl-PL"/>
        </w:rPr>
        <w:t xml:space="preserve"> na ten okres</w:t>
      </w:r>
      <w:r w:rsidRPr="008659DB">
        <w:rPr>
          <w:rFonts w:ascii="Arial" w:eastAsia="Arial" w:hAnsi="Arial" w:cs="Arial"/>
          <w:i/>
          <w:color w:val="000000"/>
          <w:lang w:eastAsia="pl-PL"/>
        </w:rPr>
        <w:t xml:space="preserve"> Celów Zarządczych, a nadwyżka ponad Przychód Gwarantowany wyniesie 5 000 000 zł Operatorowi przysługuje Rozsądny Zysk w części dodatkowej w kwocie </w:t>
      </w:r>
      <w:r w:rsidR="003E6A31">
        <w:rPr>
          <w:rFonts w:ascii="Arial" w:eastAsia="Arial" w:hAnsi="Arial" w:cs="Arial"/>
          <w:i/>
          <w:color w:val="000000"/>
          <w:lang w:eastAsia="pl-PL"/>
        </w:rPr>
        <w:t>500</w:t>
      </w:r>
      <w:r w:rsidRPr="008659DB">
        <w:rPr>
          <w:rFonts w:ascii="Arial" w:eastAsia="Arial" w:hAnsi="Arial" w:cs="Arial"/>
          <w:i/>
          <w:color w:val="000000"/>
          <w:lang w:eastAsia="pl-PL"/>
        </w:rPr>
        <w:t> 000 zł, wyliczony według wzoru 5 000 000x0,</w:t>
      </w:r>
      <w:r w:rsidR="003E6A31">
        <w:rPr>
          <w:rFonts w:ascii="Arial" w:eastAsia="Arial" w:hAnsi="Arial" w:cs="Arial"/>
          <w:i/>
          <w:color w:val="000000"/>
          <w:lang w:eastAsia="pl-PL"/>
        </w:rPr>
        <w:t>2</w:t>
      </w:r>
      <w:r w:rsidRPr="008659DB">
        <w:rPr>
          <w:rFonts w:ascii="Arial" w:eastAsia="Arial" w:hAnsi="Arial" w:cs="Arial"/>
          <w:i/>
          <w:color w:val="000000"/>
          <w:lang w:eastAsia="pl-PL"/>
        </w:rPr>
        <w:t>x0,5.</w:t>
      </w:r>
    </w:p>
    <w:p w14:paraId="6144CFB1" w14:textId="67F36903" w:rsidR="00285732" w:rsidRPr="008659DB" w:rsidRDefault="00285732" w:rsidP="00D950AF">
      <w:pPr>
        <w:numPr>
          <w:ilvl w:val="1"/>
          <w:numId w:val="1"/>
        </w:numPr>
        <w:spacing w:after="124" w:line="240" w:lineRule="auto"/>
        <w:ind w:left="567" w:right="5"/>
        <w:contextualSpacing/>
        <w:jc w:val="both"/>
        <w:rPr>
          <w:rFonts w:ascii="Arial" w:eastAsia="Arial" w:hAnsi="Arial" w:cs="Arial"/>
          <w:color w:val="000000"/>
          <w:lang w:eastAsia="pl-PL"/>
        </w:rPr>
      </w:pPr>
      <w:r w:rsidRPr="008659DB">
        <w:rPr>
          <w:rFonts w:ascii="Arial" w:eastAsia="Arial" w:hAnsi="Arial" w:cs="Arial"/>
          <w:color w:val="000000"/>
          <w:lang w:eastAsia="pl-PL"/>
        </w:rPr>
        <w:t>Na potrzeby opracowania Rocznego Planu Finansowego część obligatoryjną Rozsądnego Zysku dla danego Okresu Rozliczeniowego wylicza się od</w:t>
      </w:r>
      <w:r w:rsidR="006A7F02" w:rsidRPr="008659DB">
        <w:rPr>
          <w:rFonts w:ascii="Arial" w:eastAsia="Arial" w:hAnsi="Arial" w:cs="Arial"/>
          <w:color w:val="000000"/>
          <w:lang w:eastAsia="pl-PL"/>
        </w:rPr>
        <w:t xml:space="preserve"> </w:t>
      </w:r>
      <w:r w:rsidR="00C2058E" w:rsidRPr="008659DB">
        <w:rPr>
          <w:rFonts w:ascii="Arial" w:eastAsia="Arial" w:hAnsi="Arial" w:cs="Arial"/>
          <w:color w:val="000000"/>
          <w:lang w:eastAsia="pl-PL"/>
        </w:rPr>
        <w:t xml:space="preserve">założonej wysokości </w:t>
      </w:r>
      <w:r w:rsidRPr="008659DB">
        <w:rPr>
          <w:rFonts w:ascii="Arial" w:eastAsia="Arial" w:hAnsi="Arial" w:cs="Arial"/>
          <w:color w:val="000000"/>
          <w:lang w:eastAsia="pl-PL"/>
        </w:rPr>
        <w:t xml:space="preserve">Przychodu Gwarantowanego przyjętego na ten okres. </w:t>
      </w:r>
    </w:p>
    <w:p w14:paraId="27E096F7" w14:textId="4B879C89" w:rsidR="00285732" w:rsidRPr="008659DB" w:rsidRDefault="00285732" w:rsidP="00D950AF">
      <w:pPr>
        <w:numPr>
          <w:ilvl w:val="1"/>
          <w:numId w:val="1"/>
        </w:numPr>
        <w:spacing w:after="124" w:line="240" w:lineRule="auto"/>
        <w:ind w:left="567" w:right="5"/>
        <w:contextualSpacing/>
        <w:jc w:val="both"/>
        <w:rPr>
          <w:rFonts w:ascii="Arial" w:eastAsia="Arial" w:hAnsi="Arial" w:cs="Arial"/>
          <w:color w:val="000000"/>
          <w:lang w:eastAsia="pl-PL"/>
        </w:rPr>
      </w:pPr>
      <w:r w:rsidRPr="008659DB">
        <w:rPr>
          <w:rFonts w:ascii="Arial" w:eastAsia="Arial" w:hAnsi="Arial" w:cs="Arial"/>
          <w:color w:val="000000"/>
          <w:lang w:eastAsia="pl-PL"/>
        </w:rPr>
        <w:t>Jeżeli rzeczywisty osiągnięty poziom Przychodów w danym Okresie Rozliczeniowym będzie niższy od kwoty Przychodu Gwarantowanego przyjętego na ten okres, a spadek ten wynika z przyczyn niezależnych od Operatora, Operatorowi przysługuje część obligatoryjna Rozsądnego Zysku wyliczona od Przychodu Gwarantowanego. Operator jest zobowiązany do wykazania Organizatorowi okoliczności niezależnych od Operatora, które spowodowały spadek przychodów.</w:t>
      </w:r>
    </w:p>
    <w:p w14:paraId="6E0C3727" w14:textId="77777777" w:rsidR="00285732" w:rsidRPr="008659DB" w:rsidRDefault="00285732" w:rsidP="00D950AF">
      <w:pPr>
        <w:numPr>
          <w:ilvl w:val="1"/>
          <w:numId w:val="1"/>
        </w:numPr>
        <w:spacing w:after="124" w:line="240" w:lineRule="auto"/>
        <w:ind w:left="567" w:right="5"/>
        <w:contextualSpacing/>
        <w:jc w:val="both"/>
        <w:rPr>
          <w:rFonts w:ascii="Arial" w:eastAsia="Arial" w:hAnsi="Arial" w:cs="Arial"/>
          <w:color w:val="000000"/>
          <w:lang w:eastAsia="pl-PL"/>
        </w:rPr>
      </w:pPr>
      <w:r w:rsidRPr="008659DB">
        <w:rPr>
          <w:rFonts w:ascii="Arial" w:eastAsia="Arial" w:hAnsi="Arial" w:cs="Arial"/>
          <w:color w:val="000000"/>
          <w:lang w:eastAsia="pl-PL"/>
        </w:rPr>
        <w:t xml:space="preserve">Organizator wyznacza Operatorowi Cele Zarządcze do końca drugiego kwartału roku kalendarzowego, w którym rozpoczyna się Okres Rozliczeniowy. Jeżeli realizacja Celów Zarządczych wymaga poniesienia dodatkowych nakładów finansowych koszty te należy uwzględnić w Rocznym Planie Finansowym. Koszty z tego tytułu uznaje się na potrzeby umowy za Koszty Kwalifikowane. W pierwszym Okresie Rozliczeniowym koszty realizacji Celów Zarządczych należy skalkulować w ofercie składanej w przetargu. </w:t>
      </w:r>
    </w:p>
    <w:p w14:paraId="65ACC090" w14:textId="383EEB1B" w:rsidR="00285732" w:rsidRPr="008659DB" w:rsidRDefault="00285732" w:rsidP="00D950AF">
      <w:pPr>
        <w:numPr>
          <w:ilvl w:val="1"/>
          <w:numId w:val="1"/>
        </w:numPr>
        <w:spacing w:after="124" w:line="240" w:lineRule="auto"/>
        <w:ind w:left="567" w:right="5"/>
        <w:contextualSpacing/>
        <w:jc w:val="both"/>
        <w:rPr>
          <w:rFonts w:ascii="Arial" w:eastAsia="Arial" w:hAnsi="Arial" w:cs="Arial"/>
          <w:color w:val="000000"/>
          <w:lang w:eastAsia="pl-PL"/>
        </w:rPr>
      </w:pPr>
      <w:r w:rsidRPr="008659DB">
        <w:rPr>
          <w:rFonts w:ascii="Arial" w:eastAsia="Arial" w:hAnsi="Arial" w:cs="Arial"/>
          <w:color w:val="000000"/>
          <w:lang w:eastAsia="pl-PL"/>
        </w:rPr>
        <w:t>Na Okres Rozliczeniowy</w:t>
      </w:r>
      <w:r w:rsidR="006B5A1A" w:rsidRPr="008659DB">
        <w:rPr>
          <w:rFonts w:ascii="Arial" w:eastAsia="Arial" w:hAnsi="Arial" w:cs="Arial"/>
          <w:color w:val="000000"/>
          <w:lang w:eastAsia="pl-PL"/>
        </w:rPr>
        <w:t xml:space="preserve"> obejmujący rozkład jazdy 2026/2027</w:t>
      </w:r>
      <w:r w:rsidRPr="008659DB">
        <w:rPr>
          <w:rFonts w:ascii="Arial" w:eastAsia="Arial" w:hAnsi="Arial" w:cs="Arial"/>
          <w:color w:val="000000"/>
          <w:lang w:eastAsia="pl-PL"/>
        </w:rPr>
        <w:t xml:space="preserve"> przyjmuje się następujące Cele Zarządcze:</w:t>
      </w:r>
    </w:p>
    <w:p w14:paraId="2F6435A5" w14:textId="77777777" w:rsidR="00285732" w:rsidRPr="008659DB" w:rsidRDefault="00285732" w:rsidP="00D950AF">
      <w:pPr>
        <w:numPr>
          <w:ilvl w:val="2"/>
          <w:numId w:val="1"/>
        </w:numPr>
        <w:spacing w:after="124" w:line="240" w:lineRule="auto"/>
        <w:ind w:left="993" w:right="5"/>
        <w:contextualSpacing/>
        <w:jc w:val="both"/>
        <w:rPr>
          <w:rFonts w:ascii="Arial" w:eastAsia="Arial" w:hAnsi="Arial" w:cs="Arial"/>
          <w:color w:val="000000"/>
          <w:lang w:eastAsia="pl-PL"/>
        </w:rPr>
      </w:pPr>
      <w:r w:rsidRPr="008659DB">
        <w:rPr>
          <w:rFonts w:ascii="Arial" w:eastAsia="Arial" w:hAnsi="Arial" w:cs="Arial"/>
          <w:color w:val="000000"/>
          <w:lang w:eastAsia="pl-PL"/>
        </w:rPr>
        <w:t>Dostosowanie do możliwości rozliczania pobranej i oddanej energii trakcyjnej wskaźników pomiarowych energii trakcyjnej zainstalowanych w elektrycznych zespołach trakcyjnych udostępnionych Operatorowi przez Organizatora.</w:t>
      </w:r>
    </w:p>
    <w:p w14:paraId="326AD2E9" w14:textId="25E6CA92" w:rsidR="00285732" w:rsidRPr="008659DB" w:rsidRDefault="00C2058E" w:rsidP="00D950AF">
      <w:pPr>
        <w:numPr>
          <w:ilvl w:val="2"/>
          <w:numId w:val="1"/>
        </w:numPr>
        <w:spacing w:after="124" w:line="240" w:lineRule="auto"/>
        <w:ind w:left="993" w:right="5"/>
        <w:contextualSpacing/>
        <w:jc w:val="both"/>
        <w:rPr>
          <w:rFonts w:ascii="Arial" w:eastAsia="Arial" w:hAnsi="Arial" w:cs="Arial"/>
          <w:color w:val="000000"/>
          <w:lang w:eastAsia="pl-PL"/>
        </w:rPr>
      </w:pPr>
      <w:r w:rsidRPr="008659DB">
        <w:rPr>
          <w:rFonts w:ascii="Arial" w:eastAsia="Arial" w:hAnsi="Arial" w:cs="Arial"/>
          <w:color w:val="000000"/>
          <w:lang w:eastAsia="pl-PL"/>
        </w:rPr>
        <w:t>Osiągnięcie co najmniej 10 % udziału sprzedaży realizowanej za pomocą kanałów dystrybucji Małopolskiej Karty Aglomeracyjnej pod względem liczby sprzedanych biletów w całościowej strukturze sprzedaży</w:t>
      </w:r>
      <w:r w:rsidR="005C6444" w:rsidRPr="008659DB">
        <w:rPr>
          <w:rFonts w:ascii="Arial" w:eastAsia="Arial" w:hAnsi="Arial" w:cs="Arial"/>
          <w:color w:val="000000"/>
          <w:lang w:eastAsia="pl-PL"/>
        </w:rPr>
        <w:t xml:space="preserve"> w kanałach elektronicznych</w:t>
      </w:r>
      <w:r w:rsidRPr="008659DB">
        <w:rPr>
          <w:rFonts w:ascii="Arial" w:eastAsia="Arial" w:hAnsi="Arial" w:cs="Arial"/>
          <w:color w:val="000000"/>
          <w:lang w:eastAsia="pl-PL"/>
        </w:rPr>
        <w:t>.</w:t>
      </w:r>
    </w:p>
    <w:p w14:paraId="7CC00272" w14:textId="2C8D0E82" w:rsidR="009D6D59" w:rsidRPr="008659DB" w:rsidRDefault="00285732" w:rsidP="00F51478">
      <w:pPr>
        <w:numPr>
          <w:ilvl w:val="1"/>
          <w:numId w:val="1"/>
        </w:numPr>
        <w:spacing w:after="124" w:line="240" w:lineRule="auto"/>
        <w:ind w:left="567" w:right="5"/>
        <w:contextualSpacing/>
        <w:jc w:val="both"/>
        <w:rPr>
          <w:rFonts w:ascii="Arial" w:hAnsi="Arial" w:cs="Arial"/>
        </w:rPr>
      </w:pPr>
      <w:r w:rsidRPr="008659DB">
        <w:rPr>
          <w:rFonts w:ascii="Arial" w:eastAsia="Arial" w:hAnsi="Arial" w:cs="Arial"/>
          <w:color w:val="000000"/>
          <w:lang w:eastAsia="pl-PL"/>
        </w:rPr>
        <w:t xml:space="preserve"> Operator wraz ze Sprawozdaniem Rocznym składa Organizatorowi sprawozdanie z realizacji Celów Zarządczych wraz ze wstępnym wyliczeniem wartości należnego Rozsądnego Zysku w części obligatoryjnej i dodatkowej. </w:t>
      </w:r>
      <w:r w:rsidR="006A7F02" w:rsidRPr="008659DB">
        <w:rPr>
          <w:rFonts w:ascii="Arial" w:eastAsia="Arial" w:hAnsi="Arial" w:cs="Arial"/>
          <w:color w:val="000000"/>
          <w:lang w:eastAsia="pl-PL"/>
        </w:rPr>
        <w:t xml:space="preserve">Weryfikacja prawidłowości wyliczenia należnego Operatorowi Rozsądnego Zysku jest dokonywana w audycie, o którym mowa w </w:t>
      </w:r>
      <w:r w:rsidR="00F31623" w:rsidRPr="008659DB">
        <w:rPr>
          <w:rFonts w:ascii="Arial" w:eastAsia="Arial" w:hAnsi="Arial" w:cs="Arial"/>
          <w:color w:val="000000"/>
          <w:lang w:eastAsia="pl-PL"/>
        </w:rPr>
        <w:t>§</w:t>
      </w:r>
      <w:r w:rsidR="006A7F02" w:rsidRPr="008659DB">
        <w:rPr>
          <w:rFonts w:ascii="Arial" w:eastAsia="Arial" w:hAnsi="Arial" w:cs="Arial"/>
          <w:color w:val="000000"/>
          <w:lang w:eastAsia="pl-PL"/>
        </w:rPr>
        <w:t xml:space="preserve"> 1</w:t>
      </w:r>
      <w:r w:rsidR="00C42CAF">
        <w:rPr>
          <w:rFonts w:ascii="Arial" w:eastAsia="Arial" w:hAnsi="Arial" w:cs="Arial"/>
          <w:color w:val="000000"/>
          <w:lang w:eastAsia="pl-PL"/>
        </w:rPr>
        <w:t>4</w:t>
      </w:r>
      <w:r w:rsidR="006A7F02" w:rsidRPr="008659DB">
        <w:rPr>
          <w:rFonts w:ascii="Arial" w:eastAsia="Arial" w:hAnsi="Arial" w:cs="Arial"/>
          <w:color w:val="000000"/>
          <w:lang w:eastAsia="pl-PL"/>
        </w:rPr>
        <w:t xml:space="preserve"> Umowy. </w:t>
      </w:r>
    </w:p>
    <w:sectPr w:rsidR="009D6D59" w:rsidRPr="008659DB" w:rsidSect="00786087">
      <w:footerReference w:type="default" r:id="rId8"/>
      <w:pgSz w:w="11906" w:h="16838"/>
      <w:pgMar w:top="1417" w:right="1417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03112A" w14:textId="77777777" w:rsidR="009A7240" w:rsidRDefault="009A7240" w:rsidP="00285732">
      <w:pPr>
        <w:spacing w:after="0" w:line="240" w:lineRule="auto"/>
      </w:pPr>
      <w:r>
        <w:separator/>
      </w:r>
    </w:p>
  </w:endnote>
  <w:endnote w:type="continuationSeparator" w:id="0">
    <w:p w14:paraId="3007BD58" w14:textId="77777777" w:rsidR="009A7240" w:rsidRDefault="009A7240" w:rsidP="002857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10569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FB6B7D2" w14:textId="42C7C7A3" w:rsidR="00786087" w:rsidRPr="00786087" w:rsidRDefault="00786087" w:rsidP="00786087">
            <w:pPr>
              <w:pStyle w:val="Stopka"/>
              <w:jc w:val="right"/>
            </w:pPr>
            <w:r w:rsidRPr="00786087">
              <w:t xml:space="preserve">Strona </w:t>
            </w:r>
            <w:r w:rsidRPr="00786087">
              <w:rPr>
                <w:bCs/>
                <w:sz w:val="24"/>
                <w:szCs w:val="24"/>
              </w:rPr>
              <w:fldChar w:fldCharType="begin"/>
            </w:r>
            <w:r w:rsidRPr="00786087">
              <w:rPr>
                <w:bCs/>
              </w:rPr>
              <w:instrText>PAGE</w:instrText>
            </w:r>
            <w:r w:rsidRPr="00786087">
              <w:rPr>
                <w:bCs/>
                <w:sz w:val="24"/>
                <w:szCs w:val="24"/>
              </w:rPr>
              <w:fldChar w:fldCharType="separate"/>
            </w:r>
            <w:r w:rsidR="006F7B98">
              <w:rPr>
                <w:bCs/>
                <w:noProof/>
              </w:rPr>
              <w:t>6</w:t>
            </w:r>
            <w:r w:rsidRPr="00786087">
              <w:rPr>
                <w:bCs/>
                <w:sz w:val="24"/>
                <w:szCs w:val="24"/>
              </w:rPr>
              <w:fldChar w:fldCharType="end"/>
            </w:r>
            <w:r w:rsidRPr="00786087">
              <w:t xml:space="preserve"> z </w:t>
            </w:r>
            <w:r w:rsidRPr="00786087">
              <w:rPr>
                <w:bCs/>
                <w:sz w:val="24"/>
                <w:szCs w:val="24"/>
              </w:rPr>
              <w:fldChar w:fldCharType="begin"/>
            </w:r>
            <w:r w:rsidRPr="00786087">
              <w:rPr>
                <w:bCs/>
              </w:rPr>
              <w:instrText>NUMPAGES</w:instrText>
            </w:r>
            <w:r w:rsidRPr="00786087">
              <w:rPr>
                <w:bCs/>
                <w:sz w:val="24"/>
                <w:szCs w:val="24"/>
              </w:rPr>
              <w:fldChar w:fldCharType="separate"/>
            </w:r>
            <w:r w:rsidR="006F7B98">
              <w:rPr>
                <w:bCs/>
                <w:noProof/>
              </w:rPr>
              <w:t>8</w:t>
            </w:r>
            <w:r w:rsidRPr="00786087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B10CC5" w14:textId="77777777" w:rsidR="009A7240" w:rsidRDefault="009A7240" w:rsidP="00285732">
      <w:pPr>
        <w:spacing w:after="0" w:line="240" w:lineRule="auto"/>
      </w:pPr>
      <w:r>
        <w:separator/>
      </w:r>
    </w:p>
  </w:footnote>
  <w:footnote w:type="continuationSeparator" w:id="0">
    <w:p w14:paraId="346562DF" w14:textId="77777777" w:rsidR="009A7240" w:rsidRDefault="009A7240" w:rsidP="00285732">
      <w:pPr>
        <w:spacing w:after="0" w:line="240" w:lineRule="auto"/>
      </w:pPr>
      <w:r>
        <w:continuationSeparator/>
      </w:r>
    </w:p>
  </w:footnote>
  <w:footnote w:id="1">
    <w:p w14:paraId="59C2D2AB" w14:textId="36D0F3FC" w:rsidR="00285732" w:rsidRPr="003D0C68" w:rsidRDefault="00285732" w:rsidP="0028573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D0C68">
        <w:t>Przyjęta metoda ustalenia rozsądnego zysku jako stopa zwrotu oparta o zysk ze sprzedaży wraz z ustalonym poziomem zwrotu spełnia wymagania „odpowiedniej stopy zwrotu” w rozumieniu art. 4 ust. 1 lit. c rozporządzenia (WE) 1370/2007 i możliwie w największym stopniu niweluje różnice w potencjale operatorów zainteresowanych udziałem w przetargu wynikające z odmiennej sytuacji pod względem posiadanego mająt</w:t>
      </w:r>
      <w:r>
        <w:t xml:space="preserve">ku i stopnia jego kapitalizacji, </w:t>
      </w:r>
      <w:r w:rsidRPr="003D0C68">
        <w:t xml:space="preserve">jak również jest najbliższa wolnorynkowego podejścia  premiującego w maksymalnym stopniu efektywność wybranego operatora pod względem wielkości uzyskiwanych przychodów. Zgodnie z motywem 21 decyzji Komisji z dnia 20 grudnia 2011 r. </w:t>
      </w:r>
      <w:r w:rsidRPr="003D0C68">
        <w:rPr>
          <w:i/>
        </w:rPr>
        <w:t>w sprawie stosowania art. 106 ust. 2 Traktatu o funkcjonowaniu Unii Europejskiej do pomocy państwa w formie rekompensaty z tytułu świadczenia usług publicznych, przyznawanej przedsiębiorstwom zobowiązanym do wykonywania usług świadczonych w ogólnym interesie gospodarczym</w:t>
      </w:r>
      <w:r w:rsidRPr="003D0C68">
        <w:t xml:space="preserve"> (</w:t>
      </w:r>
      <w:proofErr w:type="spellStart"/>
      <w:r w:rsidRPr="003D0C68">
        <w:t>Dz.Urz</w:t>
      </w:r>
      <w:proofErr w:type="spellEnd"/>
      <w:r w:rsidRPr="003D0C68">
        <w:t>. UE L 7 z 11.01.2012, str. 3)</w:t>
      </w:r>
      <w:r>
        <w:t xml:space="preserve"> </w:t>
      </w:r>
      <w:r w:rsidRPr="003D0C68">
        <w:t>w przypadku gdy na skutek szczególnych okoliczności nieodpowiednie jest wykorzystanie stopy zwrotu z kapitału, państwa członkowskie powinny być w stanie oprzeć się na innych wskaźnikach poziomu zysku w celu określenia rozsądnego zysku, takich jak np. średnia stopa zwrotu z kapitału własnego, stopa zwrotu z zaangażowanego kapitału, stopa zwrotu z aktywów lub stopa zwrotu ze sprzedaży. Podobnie wskazano w motywie 34 Komunikat</w:t>
      </w:r>
      <w:r>
        <w:t>u</w:t>
      </w:r>
      <w:r w:rsidRPr="003D0C68">
        <w:t xml:space="preserve"> Komisji</w:t>
      </w:r>
      <w:r>
        <w:t xml:space="preserve"> Europejskiej z dnia 31 stycznia 2012 r.</w:t>
      </w:r>
      <w:r w:rsidRPr="003D0C68">
        <w:t xml:space="preserve"> </w:t>
      </w:r>
      <w:r w:rsidRPr="001A2F1C">
        <w:rPr>
          <w:i/>
        </w:rPr>
        <w:t>Zasady ramowe Unii Europejskiej dotyczące pomocy państwa w formie rekompensaty z tytułu świadczenia usług publicznych</w:t>
      </w:r>
      <w:r w:rsidRPr="003D0C68">
        <w:t xml:space="preserve"> (Dz. Urz. UE C 8 z dnia 11.01.2012, str. 15)</w:t>
      </w:r>
      <w:r>
        <w:t>.</w:t>
      </w:r>
    </w:p>
    <w:p w14:paraId="2218CCA7" w14:textId="77777777" w:rsidR="00285732" w:rsidRPr="003D0C68" w:rsidRDefault="00285732" w:rsidP="00285732">
      <w:pPr>
        <w:pStyle w:val="Tekstprzypisudolnego"/>
      </w:pPr>
    </w:p>
    <w:p w14:paraId="2C6FF70A" w14:textId="77777777" w:rsidR="00285732" w:rsidRDefault="00285732" w:rsidP="00285732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5EA"/>
    <w:multiLevelType w:val="hybridMultilevel"/>
    <w:tmpl w:val="E6B2FE8C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" w15:restartNumberingAfterBreak="0">
    <w:nsid w:val="0072502E"/>
    <w:multiLevelType w:val="multilevel"/>
    <w:tmpl w:val="91EC887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440"/>
      </w:pPr>
      <w:rPr>
        <w:rFonts w:hint="default"/>
      </w:rPr>
    </w:lvl>
  </w:abstractNum>
  <w:abstractNum w:abstractNumId="2" w15:restartNumberingAfterBreak="0">
    <w:nsid w:val="07A153C1"/>
    <w:multiLevelType w:val="multilevel"/>
    <w:tmpl w:val="76806F20"/>
    <w:lvl w:ilvl="0">
      <w:start w:val="4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1440" w:hanging="72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sz w:val="20"/>
        <w:szCs w:val="2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4)"/>
      <w:lvlJc w:val="left"/>
      <w:pPr>
        <w:ind w:left="180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5)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4525531"/>
    <w:multiLevelType w:val="hybridMultilevel"/>
    <w:tmpl w:val="EBB2D22C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20B56FC9"/>
    <w:multiLevelType w:val="multilevel"/>
    <w:tmpl w:val="7E40E32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 w15:restartNumberingAfterBreak="0">
    <w:nsid w:val="213514E4"/>
    <w:multiLevelType w:val="hybridMultilevel"/>
    <w:tmpl w:val="F9861508"/>
    <w:lvl w:ilvl="0" w:tplc="CBA06F9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6E435C"/>
    <w:multiLevelType w:val="multilevel"/>
    <w:tmpl w:val="C44C4B74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7" w15:restartNumberingAfterBreak="0">
    <w:nsid w:val="363F4F48"/>
    <w:multiLevelType w:val="hybridMultilevel"/>
    <w:tmpl w:val="A52AEB54"/>
    <w:lvl w:ilvl="0" w:tplc="AB58CC50">
      <w:start w:val="1"/>
      <w:numFmt w:val="lowerLetter"/>
      <w:lvlText w:val="%1)"/>
      <w:lvlJc w:val="left"/>
      <w:pPr>
        <w:ind w:left="1416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3DA10D6E"/>
    <w:multiLevelType w:val="multilevel"/>
    <w:tmpl w:val="A5F2A64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47792507"/>
    <w:multiLevelType w:val="multilevel"/>
    <w:tmpl w:val="7C900FC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ECD1502"/>
    <w:multiLevelType w:val="hybridMultilevel"/>
    <w:tmpl w:val="85E667E0"/>
    <w:lvl w:ilvl="0" w:tplc="7834C6EA">
      <w:start w:val="1"/>
      <w:numFmt w:val="decimal"/>
      <w:lvlText w:val="%1."/>
      <w:lvlJc w:val="left"/>
      <w:pPr>
        <w:ind w:left="720" w:hanging="360"/>
      </w:pPr>
    </w:lvl>
    <w:lvl w:ilvl="1" w:tplc="95263CD6">
      <w:start w:val="1"/>
      <w:numFmt w:val="lowerLetter"/>
      <w:lvlText w:val="%2."/>
      <w:lvlJc w:val="left"/>
      <w:pPr>
        <w:ind w:left="1440" w:hanging="360"/>
      </w:pPr>
    </w:lvl>
    <w:lvl w:ilvl="2" w:tplc="3CD4E3E2">
      <w:start w:val="1"/>
      <w:numFmt w:val="lowerRoman"/>
      <w:lvlText w:val="%3."/>
      <w:lvlJc w:val="right"/>
      <w:pPr>
        <w:ind w:left="2160" w:hanging="180"/>
      </w:pPr>
    </w:lvl>
    <w:lvl w:ilvl="3" w:tplc="CFCE9AC6">
      <w:start w:val="1"/>
      <w:numFmt w:val="decimal"/>
      <w:lvlText w:val="%4."/>
      <w:lvlJc w:val="left"/>
      <w:pPr>
        <w:ind w:left="2880" w:hanging="360"/>
      </w:pPr>
    </w:lvl>
    <w:lvl w:ilvl="4" w:tplc="236A10B8">
      <w:start w:val="1"/>
      <w:numFmt w:val="lowerLetter"/>
      <w:lvlText w:val="%5."/>
      <w:lvlJc w:val="left"/>
      <w:pPr>
        <w:ind w:left="3600" w:hanging="360"/>
      </w:pPr>
    </w:lvl>
    <w:lvl w:ilvl="5" w:tplc="CD781CB8">
      <w:start w:val="1"/>
      <w:numFmt w:val="lowerRoman"/>
      <w:lvlText w:val="%6."/>
      <w:lvlJc w:val="right"/>
      <w:pPr>
        <w:ind w:left="4320" w:hanging="180"/>
      </w:pPr>
    </w:lvl>
    <w:lvl w:ilvl="6" w:tplc="0C72C8B2">
      <w:start w:val="1"/>
      <w:numFmt w:val="decimal"/>
      <w:lvlText w:val="%7."/>
      <w:lvlJc w:val="left"/>
      <w:pPr>
        <w:ind w:left="5040" w:hanging="360"/>
      </w:pPr>
    </w:lvl>
    <w:lvl w:ilvl="7" w:tplc="D3727310">
      <w:start w:val="1"/>
      <w:numFmt w:val="lowerLetter"/>
      <w:lvlText w:val="%8."/>
      <w:lvlJc w:val="left"/>
      <w:pPr>
        <w:ind w:left="5760" w:hanging="360"/>
      </w:pPr>
    </w:lvl>
    <w:lvl w:ilvl="8" w:tplc="CF349F6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C3AE58"/>
    <w:multiLevelType w:val="hybridMultilevel"/>
    <w:tmpl w:val="441C65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B302AB4">
      <w:start w:val="1"/>
      <w:numFmt w:val="lowerLetter"/>
      <w:lvlText w:val="%2."/>
      <w:lvlJc w:val="left"/>
      <w:pPr>
        <w:ind w:left="1440" w:hanging="360"/>
      </w:pPr>
    </w:lvl>
    <w:lvl w:ilvl="2" w:tplc="A4BC3660">
      <w:start w:val="1"/>
      <w:numFmt w:val="lowerRoman"/>
      <w:lvlText w:val="%3."/>
      <w:lvlJc w:val="right"/>
      <w:pPr>
        <w:ind w:left="2160" w:hanging="180"/>
      </w:pPr>
    </w:lvl>
    <w:lvl w:ilvl="3" w:tplc="536479E0">
      <w:start w:val="1"/>
      <w:numFmt w:val="decimal"/>
      <w:lvlText w:val="%4."/>
      <w:lvlJc w:val="left"/>
      <w:pPr>
        <w:ind w:left="2880" w:hanging="360"/>
      </w:pPr>
    </w:lvl>
    <w:lvl w:ilvl="4" w:tplc="179C3538">
      <w:start w:val="1"/>
      <w:numFmt w:val="lowerLetter"/>
      <w:lvlText w:val="%5."/>
      <w:lvlJc w:val="left"/>
      <w:pPr>
        <w:ind w:left="3600" w:hanging="360"/>
      </w:pPr>
    </w:lvl>
    <w:lvl w:ilvl="5" w:tplc="1D70C03A">
      <w:start w:val="1"/>
      <w:numFmt w:val="lowerRoman"/>
      <w:lvlText w:val="%6."/>
      <w:lvlJc w:val="right"/>
      <w:pPr>
        <w:ind w:left="4320" w:hanging="180"/>
      </w:pPr>
    </w:lvl>
    <w:lvl w:ilvl="6" w:tplc="FC60BCF0">
      <w:start w:val="1"/>
      <w:numFmt w:val="decimal"/>
      <w:lvlText w:val="%7."/>
      <w:lvlJc w:val="left"/>
      <w:pPr>
        <w:ind w:left="5040" w:hanging="360"/>
      </w:pPr>
    </w:lvl>
    <w:lvl w:ilvl="7" w:tplc="EB8CF63C">
      <w:start w:val="1"/>
      <w:numFmt w:val="lowerLetter"/>
      <w:lvlText w:val="%8."/>
      <w:lvlJc w:val="left"/>
      <w:pPr>
        <w:ind w:left="5760" w:hanging="360"/>
      </w:pPr>
    </w:lvl>
    <w:lvl w:ilvl="8" w:tplc="E8A000F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10"/>
  </w:num>
  <w:num w:numId="4">
    <w:abstractNumId w:val="2"/>
  </w:num>
  <w:num w:numId="5">
    <w:abstractNumId w:val="1"/>
  </w:num>
  <w:num w:numId="6">
    <w:abstractNumId w:val="5"/>
  </w:num>
  <w:num w:numId="7">
    <w:abstractNumId w:val="0"/>
  </w:num>
  <w:num w:numId="8">
    <w:abstractNumId w:val="7"/>
  </w:num>
  <w:num w:numId="9">
    <w:abstractNumId w:val="9"/>
  </w:num>
  <w:num w:numId="10">
    <w:abstractNumId w:val="4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732"/>
    <w:rsid w:val="00047501"/>
    <w:rsid w:val="00067022"/>
    <w:rsid w:val="00070386"/>
    <w:rsid w:val="000810E4"/>
    <w:rsid w:val="00095E32"/>
    <w:rsid w:val="000C04F6"/>
    <w:rsid w:val="000C1E11"/>
    <w:rsid w:val="000C692A"/>
    <w:rsid w:val="000D6E6A"/>
    <w:rsid w:val="000F77F4"/>
    <w:rsid w:val="001024A6"/>
    <w:rsid w:val="001264BA"/>
    <w:rsid w:val="00144163"/>
    <w:rsid w:val="001816A0"/>
    <w:rsid w:val="001A34C5"/>
    <w:rsid w:val="001C5161"/>
    <w:rsid w:val="001F6A34"/>
    <w:rsid w:val="00201F2C"/>
    <w:rsid w:val="00211B46"/>
    <w:rsid w:val="002523B9"/>
    <w:rsid w:val="00282983"/>
    <w:rsid w:val="00283AD4"/>
    <w:rsid w:val="00285732"/>
    <w:rsid w:val="00290AD1"/>
    <w:rsid w:val="002A538C"/>
    <w:rsid w:val="002C093C"/>
    <w:rsid w:val="002D5F02"/>
    <w:rsid w:val="002D68D1"/>
    <w:rsid w:val="002F56F6"/>
    <w:rsid w:val="00311958"/>
    <w:rsid w:val="00314AC1"/>
    <w:rsid w:val="0031520C"/>
    <w:rsid w:val="0033403B"/>
    <w:rsid w:val="00366091"/>
    <w:rsid w:val="00385887"/>
    <w:rsid w:val="0038742F"/>
    <w:rsid w:val="003C2D38"/>
    <w:rsid w:val="003D0013"/>
    <w:rsid w:val="003E6A31"/>
    <w:rsid w:val="0041476E"/>
    <w:rsid w:val="00444CC7"/>
    <w:rsid w:val="00460C57"/>
    <w:rsid w:val="00467288"/>
    <w:rsid w:val="004A14E6"/>
    <w:rsid w:val="004B12B5"/>
    <w:rsid w:val="004F149D"/>
    <w:rsid w:val="004F4994"/>
    <w:rsid w:val="0052232E"/>
    <w:rsid w:val="00550E1E"/>
    <w:rsid w:val="00590DA6"/>
    <w:rsid w:val="00591549"/>
    <w:rsid w:val="005B3CE9"/>
    <w:rsid w:val="005C5A38"/>
    <w:rsid w:val="005C6444"/>
    <w:rsid w:val="005D172A"/>
    <w:rsid w:val="00600DA5"/>
    <w:rsid w:val="00602BF1"/>
    <w:rsid w:val="006056C5"/>
    <w:rsid w:val="0062523C"/>
    <w:rsid w:val="0063790F"/>
    <w:rsid w:val="006402E2"/>
    <w:rsid w:val="006437BB"/>
    <w:rsid w:val="0065103C"/>
    <w:rsid w:val="00674E9F"/>
    <w:rsid w:val="006A6BC6"/>
    <w:rsid w:val="006A7F02"/>
    <w:rsid w:val="006B2874"/>
    <w:rsid w:val="006B5A1A"/>
    <w:rsid w:val="006F6232"/>
    <w:rsid w:val="006F7B98"/>
    <w:rsid w:val="007639DD"/>
    <w:rsid w:val="0076674B"/>
    <w:rsid w:val="00772F2D"/>
    <w:rsid w:val="00784512"/>
    <w:rsid w:val="00786087"/>
    <w:rsid w:val="007909BF"/>
    <w:rsid w:val="0079390B"/>
    <w:rsid w:val="007B7B26"/>
    <w:rsid w:val="007C706D"/>
    <w:rsid w:val="007D24B6"/>
    <w:rsid w:val="007E1137"/>
    <w:rsid w:val="007F244D"/>
    <w:rsid w:val="007F6F50"/>
    <w:rsid w:val="007F77DC"/>
    <w:rsid w:val="008506EA"/>
    <w:rsid w:val="0085632A"/>
    <w:rsid w:val="008659DB"/>
    <w:rsid w:val="008756F5"/>
    <w:rsid w:val="00886485"/>
    <w:rsid w:val="008A1C8F"/>
    <w:rsid w:val="008C789B"/>
    <w:rsid w:val="0097378B"/>
    <w:rsid w:val="009A3563"/>
    <w:rsid w:val="009A3ED1"/>
    <w:rsid w:val="009A7240"/>
    <w:rsid w:val="009B3B67"/>
    <w:rsid w:val="009D6D59"/>
    <w:rsid w:val="009F330E"/>
    <w:rsid w:val="00A04EF7"/>
    <w:rsid w:val="00A16408"/>
    <w:rsid w:val="00A2567F"/>
    <w:rsid w:val="00A31735"/>
    <w:rsid w:val="00A43497"/>
    <w:rsid w:val="00A85210"/>
    <w:rsid w:val="00AA5367"/>
    <w:rsid w:val="00AA631D"/>
    <w:rsid w:val="00AC2EED"/>
    <w:rsid w:val="00AD342F"/>
    <w:rsid w:val="00AE375F"/>
    <w:rsid w:val="00B15594"/>
    <w:rsid w:val="00B21DDB"/>
    <w:rsid w:val="00B55874"/>
    <w:rsid w:val="00BA0CBB"/>
    <w:rsid w:val="00BA279A"/>
    <w:rsid w:val="00BA5D18"/>
    <w:rsid w:val="00BC28D6"/>
    <w:rsid w:val="00BC673B"/>
    <w:rsid w:val="00BF7C1E"/>
    <w:rsid w:val="00C2058E"/>
    <w:rsid w:val="00C31B61"/>
    <w:rsid w:val="00C42CAF"/>
    <w:rsid w:val="00C80A19"/>
    <w:rsid w:val="00C9622E"/>
    <w:rsid w:val="00CA67BD"/>
    <w:rsid w:val="00CB6E2C"/>
    <w:rsid w:val="00CC1DF2"/>
    <w:rsid w:val="00D0577C"/>
    <w:rsid w:val="00D22857"/>
    <w:rsid w:val="00D33FF8"/>
    <w:rsid w:val="00D4002D"/>
    <w:rsid w:val="00D56FC1"/>
    <w:rsid w:val="00D71821"/>
    <w:rsid w:val="00D73A4F"/>
    <w:rsid w:val="00D80D03"/>
    <w:rsid w:val="00D814F0"/>
    <w:rsid w:val="00D9302B"/>
    <w:rsid w:val="00D950AF"/>
    <w:rsid w:val="00DE7ACA"/>
    <w:rsid w:val="00E06BB1"/>
    <w:rsid w:val="00E1364F"/>
    <w:rsid w:val="00E1438B"/>
    <w:rsid w:val="00E20D85"/>
    <w:rsid w:val="00E26019"/>
    <w:rsid w:val="00E46092"/>
    <w:rsid w:val="00E62D76"/>
    <w:rsid w:val="00E74A2E"/>
    <w:rsid w:val="00EC13C5"/>
    <w:rsid w:val="00EE2597"/>
    <w:rsid w:val="00EE4086"/>
    <w:rsid w:val="00EE4B45"/>
    <w:rsid w:val="00EE4B87"/>
    <w:rsid w:val="00EF0527"/>
    <w:rsid w:val="00F02158"/>
    <w:rsid w:val="00F245EB"/>
    <w:rsid w:val="00F31623"/>
    <w:rsid w:val="00F53CDE"/>
    <w:rsid w:val="00F60472"/>
    <w:rsid w:val="00FA2A88"/>
    <w:rsid w:val="00FB64D4"/>
    <w:rsid w:val="00FC0A0E"/>
    <w:rsid w:val="00FD63F0"/>
    <w:rsid w:val="00FF7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9C312"/>
  <w15:chartTrackingRefBased/>
  <w15:docId w15:val="{110B8161-30D2-45BD-8AD0-47599AB97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8573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857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85732"/>
    <w:pPr>
      <w:spacing w:after="124" w:line="240" w:lineRule="auto"/>
      <w:ind w:left="370" w:right="5" w:hanging="10"/>
      <w:jc w:val="both"/>
    </w:pPr>
    <w:rPr>
      <w:rFonts w:ascii="Arial" w:eastAsia="Arial" w:hAnsi="Arial" w:cs="Arial"/>
      <w:color w:val="000000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5732"/>
    <w:rPr>
      <w:rFonts w:ascii="Arial" w:eastAsia="Arial" w:hAnsi="Arial" w:cs="Arial"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5732"/>
    <w:pPr>
      <w:spacing w:after="0" w:line="240" w:lineRule="auto"/>
      <w:ind w:left="370" w:right="5" w:hanging="10"/>
      <w:jc w:val="both"/>
    </w:pPr>
    <w:rPr>
      <w:rFonts w:ascii="Arial" w:eastAsia="Arial" w:hAnsi="Arial" w:cs="Arial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5732"/>
    <w:rPr>
      <w:rFonts w:ascii="Arial" w:eastAsia="Arial" w:hAnsi="Arial" w:cs="Arial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573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857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85732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C5161"/>
    <w:pPr>
      <w:ind w:left="720"/>
      <w:contextualSpacing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4B87"/>
    <w:pPr>
      <w:spacing w:after="160"/>
      <w:ind w:left="0" w:right="0" w:firstLine="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4B87"/>
    <w:rPr>
      <w:rFonts w:ascii="Arial" w:eastAsia="Arial" w:hAnsi="Arial" w:cs="Arial"/>
      <w:b/>
      <w:bCs/>
      <w:color w:val="000000"/>
      <w:sz w:val="20"/>
      <w:szCs w:val="20"/>
      <w:lang w:eastAsia="pl-PL"/>
    </w:rPr>
  </w:style>
  <w:style w:type="paragraph" w:styleId="Legenda">
    <w:name w:val="caption"/>
    <w:basedOn w:val="Normalny"/>
    <w:next w:val="Normalny"/>
    <w:uiPriority w:val="35"/>
    <w:unhideWhenUsed/>
    <w:qFormat/>
    <w:rsid w:val="004A14E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860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6087"/>
  </w:style>
  <w:style w:type="paragraph" w:styleId="Stopka">
    <w:name w:val="footer"/>
    <w:basedOn w:val="Normalny"/>
    <w:link w:val="StopkaZnak"/>
    <w:uiPriority w:val="99"/>
    <w:unhideWhenUsed/>
    <w:rsid w:val="007860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6087"/>
  </w:style>
  <w:style w:type="paragraph" w:styleId="Poprawka">
    <w:name w:val="Revision"/>
    <w:hidden/>
    <w:uiPriority w:val="99"/>
    <w:semiHidden/>
    <w:rsid w:val="00D4002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D670DB-ED67-4A65-A094-4DD0229C3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8</Pages>
  <Words>2856</Words>
  <Characters>17137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19954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Warchoł, Tomasz</dc:creator>
  <cp:keywords/>
  <dc:description/>
  <cp:lastModifiedBy>Ryszka, Edyta</cp:lastModifiedBy>
  <cp:revision>22</cp:revision>
  <dcterms:created xsi:type="dcterms:W3CDTF">2025-10-24T11:44:00Z</dcterms:created>
  <dcterms:modified xsi:type="dcterms:W3CDTF">2025-12-09T11:45:00Z</dcterms:modified>
</cp:coreProperties>
</file>